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3C" w:rsidRPr="00E016C8" w:rsidRDefault="00F10F3C" w:rsidP="00F10F3C"/>
    <w:p w:rsidR="00F10F3C" w:rsidRPr="00E016C8" w:rsidRDefault="00F10F3C" w:rsidP="00F10F3C">
      <w:r w:rsidRPr="00E016C8">
        <w:rPr>
          <w:b/>
        </w:rPr>
        <w:t xml:space="preserve">Shtojca 5: </w:t>
      </w:r>
      <w:r w:rsidRPr="00E016C8">
        <w:t>Formulari i Identifikimit të Projektit</w:t>
      </w:r>
    </w:p>
    <w:p w:rsidR="00F10F3C" w:rsidRPr="00E016C8" w:rsidRDefault="00F10F3C" w:rsidP="00F10F3C">
      <w:pPr>
        <w:rPr>
          <w:b/>
        </w:rPr>
      </w:pPr>
      <w:bookmarkStart w:id="0" w:name="_GoBack"/>
      <w:bookmarkEnd w:id="0"/>
    </w:p>
    <w:p w:rsidR="00F10F3C" w:rsidRPr="00E016C8" w:rsidRDefault="00F10F3C" w:rsidP="00F10F3C">
      <w:pPr>
        <w:pStyle w:val="ListParagraph"/>
        <w:numPr>
          <w:ilvl w:val="0"/>
          <w:numId w:val="1"/>
        </w:numPr>
        <w:rPr>
          <w:b/>
        </w:rPr>
      </w:pPr>
      <w:r w:rsidRPr="00E016C8">
        <w:rPr>
          <w:b/>
        </w:rPr>
        <w:t xml:space="preserve">Të dhëna të përgjithshme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gridCol w:w="4500"/>
      </w:tblGrid>
      <w:tr w:rsidR="00F10F3C" w:rsidRPr="00E016C8" w:rsidTr="00BB5D8B">
        <w:trPr>
          <w:trHeight w:val="233"/>
        </w:trPr>
        <w:tc>
          <w:tcPr>
            <w:tcW w:w="4968" w:type="dxa"/>
          </w:tcPr>
          <w:p w:rsidR="00F10F3C" w:rsidRPr="00E016C8" w:rsidRDefault="00F10F3C" w:rsidP="00BB5D8B">
            <w:pPr>
              <w:spacing w:after="0" w:line="240" w:lineRule="auto"/>
              <w:rPr>
                <w:b/>
              </w:rPr>
            </w:pPr>
            <w:r w:rsidRPr="00E016C8">
              <w:rPr>
                <w:b/>
              </w:rPr>
              <w:t>Aplikuesi/t:</w:t>
            </w:r>
          </w:p>
        </w:tc>
        <w:tc>
          <w:tcPr>
            <w:tcW w:w="4500" w:type="dxa"/>
          </w:tcPr>
          <w:p w:rsidR="00F10F3C" w:rsidRPr="00E016C8" w:rsidRDefault="00C76559" w:rsidP="00BB5D8B">
            <w:pPr>
              <w:spacing w:after="0" w:line="240" w:lineRule="auto"/>
            </w:pPr>
            <w:r>
              <w:t>Komuna Bushat</w:t>
            </w:r>
          </w:p>
        </w:tc>
      </w:tr>
      <w:tr w:rsidR="00F10F3C" w:rsidRPr="00E016C8" w:rsidTr="00BB5D8B">
        <w:tc>
          <w:tcPr>
            <w:tcW w:w="4968" w:type="dxa"/>
          </w:tcPr>
          <w:p w:rsidR="00F10F3C" w:rsidRPr="00E016C8" w:rsidRDefault="00F10F3C" w:rsidP="00BB5D8B">
            <w:pPr>
              <w:spacing w:after="0" w:line="240" w:lineRule="auto"/>
              <w:rPr>
                <w:b/>
              </w:rPr>
            </w:pPr>
            <w:r w:rsidRPr="00E016C8">
              <w:rPr>
                <w:b/>
              </w:rPr>
              <w:t xml:space="preserve">Personi/at e kontaktit: </w:t>
            </w:r>
          </w:p>
        </w:tc>
        <w:tc>
          <w:tcPr>
            <w:tcW w:w="4500" w:type="dxa"/>
          </w:tcPr>
          <w:p w:rsidR="00F10F3C" w:rsidRPr="00E016C8" w:rsidRDefault="00C76559" w:rsidP="00BB5D8B">
            <w:pPr>
              <w:spacing w:after="0" w:line="240" w:lineRule="auto"/>
            </w:pPr>
            <w:r>
              <w:t>Shefku G</w:t>
            </w:r>
            <w:r w:rsidR="00583093">
              <w:t>ë</w:t>
            </w:r>
            <w:r>
              <w:t>rbeti</w:t>
            </w:r>
          </w:p>
        </w:tc>
      </w:tr>
      <w:tr w:rsidR="00F10F3C" w:rsidRPr="00E016C8" w:rsidTr="00BB5D8B">
        <w:tc>
          <w:tcPr>
            <w:tcW w:w="4968" w:type="dxa"/>
          </w:tcPr>
          <w:p w:rsidR="00F10F3C" w:rsidRPr="00E016C8" w:rsidRDefault="00F10F3C" w:rsidP="00BB5D8B">
            <w:pPr>
              <w:spacing w:after="0" w:line="240" w:lineRule="auto"/>
              <w:rPr>
                <w:b/>
              </w:rPr>
            </w:pPr>
            <w:r w:rsidRPr="00E016C8">
              <w:rPr>
                <w:b/>
              </w:rPr>
              <w:t>Titulli i Projektit:</w:t>
            </w:r>
          </w:p>
        </w:tc>
        <w:tc>
          <w:tcPr>
            <w:tcW w:w="4500" w:type="dxa"/>
          </w:tcPr>
          <w:p w:rsidR="00F10F3C" w:rsidRPr="00E016C8" w:rsidRDefault="00C905C8" w:rsidP="00BB5D8B">
            <w:pPr>
              <w:spacing w:after="0" w:line="240" w:lineRule="auto"/>
              <w:rPr>
                <w:i/>
              </w:rPr>
            </w:pPr>
            <w:r>
              <w:rPr>
                <w:i/>
              </w:rPr>
              <w:t>Ndertim Konvikti per Shkolle Profesionale</w:t>
            </w:r>
          </w:p>
        </w:tc>
      </w:tr>
      <w:tr w:rsidR="00F10F3C" w:rsidRPr="00E016C8" w:rsidTr="00BB5D8B">
        <w:tc>
          <w:tcPr>
            <w:tcW w:w="4968" w:type="dxa"/>
          </w:tcPr>
          <w:p w:rsidR="00F10F3C" w:rsidRPr="00E016C8" w:rsidRDefault="00F10F3C" w:rsidP="00BB5D8B">
            <w:pPr>
              <w:spacing w:after="0" w:line="240" w:lineRule="auto"/>
              <w:rPr>
                <w:b/>
              </w:rPr>
            </w:pPr>
            <w:r w:rsidRPr="00E016C8">
              <w:rPr>
                <w:b/>
              </w:rPr>
              <w:t xml:space="preserve">Vendndodhja: </w:t>
            </w:r>
          </w:p>
        </w:tc>
        <w:tc>
          <w:tcPr>
            <w:tcW w:w="4500" w:type="dxa"/>
          </w:tcPr>
          <w:p w:rsidR="00F10F3C" w:rsidRPr="00E016C8" w:rsidRDefault="00C76559" w:rsidP="00BB5D8B">
            <w:pPr>
              <w:spacing w:after="0" w:line="240" w:lineRule="auto"/>
              <w:rPr>
                <w:i/>
              </w:rPr>
            </w:pPr>
            <w:r>
              <w:rPr>
                <w:i/>
              </w:rPr>
              <w:t>Komuna Bushat</w:t>
            </w:r>
          </w:p>
        </w:tc>
      </w:tr>
      <w:tr w:rsidR="00F10F3C" w:rsidRPr="00E016C8" w:rsidTr="00BB5D8B">
        <w:tc>
          <w:tcPr>
            <w:tcW w:w="4968" w:type="dxa"/>
          </w:tcPr>
          <w:p w:rsidR="00F10F3C" w:rsidRPr="00E016C8" w:rsidRDefault="00F10F3C" w:rsidP="00BB5D8B">
            <w:pPr>
              <w:spacing w:after="0" w:line="240" w:lineRule="auto"/>
              <w:rPr>
                <w:b/>
              </w:rPr>
            </w:pPr>
            <w:r w:rsidRPr="00E016C8">
              <w:rPr>
                <w:b/>
              </w:rPr>
              <w:t>Buxheti i kërk</w:t>
            </w:r>
            <w:r w:rsidR="00C76559">
              <w:rPr>
                <w:b/>
              </w:rPr>
              <w:t>uar</w:t>
            </w:r>
          </w:p>
        </w:tc>
        <w:tc>
          <w:tcPr>
            <w:tcW w:w="4500" w:type="dxa"/>
          </w:tcPr>
          <w:p w:rsidR="00F10F3C" w:rsidRPr="00E016C8" w:rsidRDefault="00C76559" w:rsidP="00BB5D8B">
            <w:pPr>
              <w:spacing w:after="0" w:line="240" w:lineRule="auto"/>
              <w:rPr>
                <w:i/>
              </w:rPr>
            </w:pPr>
            <w:r>
              <w:rPr>
                <w:i/>
              </w:rPr>
              <w:t>75 000 mije lek</w:t>
            </w:r>
          </w:p>
        </w:tc>
      </w:tr>
      <w:tr w:rsidR="00F10F3C" w:rsidRPr="00E016C8" w:rsidTr="00BB5D8B">
        <w:tc>
          <w:tcPr>
            <w:tcW w:w="4968" w:type="dxa"/>
          </w:tcPr>
          <w:p w:rsidR="00F10F3C" w:rsidRPr="00E016C8" w:rsidRDefault="00F10F3C" w:rsidP="00BB5D8B">
            <w:pPr>
              <w:spacing w:after="0" w:line="240" w:lineRule="auto"/>
              <w:rPr>
                <w:b/>
              </w:rPr>
            </w:pPr>
            <w:r w:rsidRPr="00E016C8">
              <w:rPr>
                <w:b/>
              </w:rPr>
              <w:t xml:space="preserve">Kodi i Projektit në strategjinë vendore ose rajonale: </w:t>
            </w:r>
          </w:p>
        </w:tc>
        <w:tc>
          <w:tcPr>
            <w:tcW w:w="4500" w:type="dxa"/>
          </w:tcPr>
          <w:p w:rsidR="00F10F3C" w:rsidRPr="00E016C8" w:rsidRDefault="00C76559" w:rsidP="00BB5D8B">
            <w:pPr>
              <w:spacing w:after="0" w:line="240" w:lineRule="auto"/>
              <w:rPr>
                <w:i/>
              </w:rPr>
            </w:pPr>
            <w:r w:rsidRPr="00C76559">
              <w:rPr>
                <w:i/>
              </w:rPr>
              <w:t>Q4O1P00010140p1</w:t>
            </w:r>
          </w:p>
        </w:tc>
      </w:tr>
      <w:tr w:rsidR="00F10F3C" w:rsidRPr="00E016C8" w:rsidTr="00BB5D8B">
        <w:tc>
          <w:tcPr>
            <w:tcW w:w="4968" w:type="dxa"/>
          </w:tcPr>
          <w:p w:rsidR="00F10F3C" w:rsidRPr="00E655A8" w:rsidRDefault="00F10F3C" w:rsidP="00BB5D8B">
            <w:pPr>
              <w:spacing w:after="0" w:line="240" w:lineRule="auto"/>
              <w:rPr>
                <w:b/>
                <w:i/>
              </w:rPr>
            </w:pPr>
            <w:r w:rsidRPr="00E655A8">
              <w:rPr>
                <w:b/>
                <w:i/>
              </w:rPr>
              <w:t xml:space="preserve">Data e dorëzimit: </w:t>
            </w:r>
          </w:p>
        </w:tc>
        <w:tc>
          <w:tcPr>
            <w:tcW w:w="4500" w:type="dxa"/>
          </w:tcPr>
          <w:p w:rsidR="00F10F3C" w:rsidRPr="00E655A8" w:rsidRDefault="00C76559" w:rsidP="00BB5D8B">
            <w:pPr>
              <w:spacing w:after="0" w:line="240" w:lineRule="auto"/>
            </w:pPr>
            <w:r w:rsidRPr="00E655A8">
              <w:t>2012</w:t>
            </w:r>
          </w:p>
        </w:tc>
      </w:tr>
      <w:tr w:rsidR="00F10F3C" w:rsidRPr="00E016C8" w:rsidTr="00BB5D8B">
        <w:tc>
          <w:tcPr>
            <w:tcW w:w="4968" w:type="dxa"/>
          </w:tcPr>
          <w:p w:rsidR="00F10F3C" w:rsidRPr="00E655A8" w:rsidRDefault="00F10F3C" w:rsidP="00BB5D8B">
            <w:pPr>
              <w:spacing w:after="0" w:line="240" w:lineRule="auto"/>
              <w:rPr>
                <w:b/>
                <w:i/>
              </w:rPr>
            </w:pPr>
            <w:r w:rsidRPr="00E655A8">
              <w:rPr>
                <w:b/>
                <w:i/>
              </w:rPr>
              <w:t xml:space="preserve">Numri i Projektit: </w:t>
            </w:r>
          </w:p>
        </w:tc>
        <w:tc>
          <w:tcPr>
            <w:tcW w:w="4500" w:type="dxa"/>
          </w:tcPr>
          <w:p w:rsidR="00F10F3C" w:rsidRPr="00E655A8" w:rsidRDefault="00C76559" w:rsidP="00BB5D8B">
            <w:pPr>
              <w:spacing w:after="0" w:line="240" w:lineRule="auto"/>
            </w:pPr>
            <w:r w:rsidRPr="00E655A8">
              <w:t>3</w:t>
            </w:r>
          </w:p>
        </w:tc>
      </w:tr>
    </w:tbl>
    <w:p w:rsidR="00F10F3C" w:rsidRPr="00E016C8" w:rsidRDefault="00F10F3C" w:rsidP="00F10F3C">
      <w:pPr>
        <w:pStyle w:val="ListParagraph"/>
        <w:ind w:left="360"/>
        <w:jc w:val="both"/>
        <w:rPr>
          <w:b/>
        </w:rPr>
      </w:pPr>
    </w:p>
    <w:p w:rsidR="00F10F3C" w:rsidRPr="00E016C8" w:rsidRDefault="00F10F3C" w:rsidP="00F10F3C">
      <w:pPr>
        <w:pStyle w:val="ListParagraph"/>
        <w:numPr>
          <w:ilvl w:val="0"/>
          <w:numId w:val="1"/>
        </w:numPr>
        <w:jc w:val="both"/>
        <w:rPr>
          <w:b/>
        </w:rPr>
      </w:pPr>
      <w:r w:rsidRPr="00E016C8">
        <w:rPr>
          <w:b/>
        </w:rPr>
        <w:t xml:space="preserve">Një përmbledhje e idesë së projektit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E016C8" w:rsidTr="00BB5D8B">
        <w:trPr>
          <w:trHeight w:val="953"/>
        </w:trPr>
        <w:tc>
          <w:tcPr>
            <w:tcW w:w="9576" w:type="dxa"/>
          </w:tcPr>
          <w:p w:rsidR="00000000" w:rsidRDefault="00F10F3C">
            <w:pPr>
              <w:spacing w:after="0" w:line="240" w:lineRule="auto"/>
              <w:jc w:val="both"/>
              <w:rPr>
                <w:rFonts w:ascii="Times New Roman" w:hAnsi="Times New Roman"/>
                <w:sz w:val="24"/>
                <w:szCs w:val="24"/>
              </w:rPr>
            </w:pPr>
            <w:r w:rsidRPr="00E016C8">
              <w:t xml:space="preserve"> </w:t>
            </w:r>
            <w:r w:rsidR="00AD4B89" w:rsidRPr="00794B7B">
              <w:rPr>
                <w:rStyle w:val="Strong"/>
                <w:rFonts w:ascii="Times New Roman" w:hAnsi="Times New Roman"/>
                <w:color w:val="000000"/>
                <w:sz w:val="24"/>
                <w:szCs w:val="24"/>
                <w:bdr w:val="none" w:sz="0" w:space="0" w:color="auto" w:frame="1"/>
                <w:shd w:val="clear" w:color="auto" w:fill="FFFFFF"/>
              </w:rPr>
              <w:t>Arsimi profesional</w:t>
            </w:r>
            <w:r w:rsidR="00AD4B89" w:rsidRPr="00794B7B">
              <w:rPr>
                <w:rFonts w:ascii="Times New Roman" w:hAnsi="Times New Roman"/>
                <w:color w:val="000000"/>
                <w:sz w:val="24"/>
                <w:szCs w:val="24"/>
                <w:shd w:val="clear" w:color="auto" w:fill="FFFFFF"/>
              </w:rPr>
              <w:t xml:space="preserve">, është pjesë e sistemit të arsimit dhe aftësimit profesional që iu mundëson nxënësve, të cilët e kanë kryer shkollimin e obliguar 9 (5+4) vjeçar ose atyre që kanë mbushur 15 vjeç dhe më të mëdhenj, arritjen e shkathtësive për punësim brenda institucioneve të arsimit profesional. Arsimi i mesëm profesional, që nënkupton shkollat profesionale, si qëllim parësor ka përgatitjen e kuadrove për treg të punës, por ofron edhe mundësi të aplikimit në studime më të larta post sekondare dhe universitare. Ky lloj arsimi në Shqiperi është organizuar në tetë tipe të shkollave, ku mësimi zhvillohet në disa profile. </w:t>
            </w:r>
            <w:r w:rsidR="00C905C8" w:rsidRPr="00794B7B">
              <w:rPr>
                <w:rFonts w:ascii="Times New Roman" w:hAnsi="Times New Roman"/>
                <w:sz w:val="24"/>
                <w:szCs w:val="24"/>
              </w:rPr>
              <w:t>Projekti synon ndertimin e nje konvik</w:t>
            </w:r>
            <w:r w:rsidR="0057431D" w:rsidRPr="00794B7B">
              <w:rPr>
                <w:rFonts w:ascii="Times New Roman" w:hAnsi="Times New Roman"/>
                <w:sz w:val="24"/>
                <w:szCs w:val="24"/>
              </w:rPr>
              <w:t>ti per shkollen profesionale” Ndre Mjeda”</w:t>
            </w:r>
            <w:r w:rsidR="00C905C8" w:rsidRPr="00794B7B">
              <w:rPr>
                <w:rFonts w:ascii="Times New Roman" w:hAnsi="Times New Roman"/>
                <w:sz w:val="24"/>
                <w:szCs w:val="24"/>
              </w:rPr>
              <w:t xml:space="preserve">, Bushat. </w:t>
            </w:r>
            <w:r w:rsidR="00BD079A" w:rsidRPr="00794B7B">
              <w:rPr>
                <w:rFonts w:ascii="Times New Roman" w:hAnsi="Times New Roman"/>
                <w:sz w:val="24"/>
                <w:szCs w:val="24"/>
              </w:rPr>
              <w:t xml:space="preserve">Ky projekt do krijoje kushte te pershtatshme per akomodimin e nxenesve qe do te ndjekin arsimin </w:t>
            </w:r>
            <w:r w:rsidR="0057431D" w:rsidRPr="00794B7B">
              <w:rPr>
                <w:rFonts w:ascii="Times New Roman" w:hAnsi="Times New Roman"/>
                <w:sz w:val="24"/>
                <w:szCs w:val="24"/>
              </w:rPr>
              <w:t>e mesem profesional. Shkolla ‘Ndre Mjeda”</w:t>
            </w:r>
            <w:r w:rsidR="00BD079A" w:rsidRPr="00794B7B">
              <w:rPr>
                <w:rFonts w:ascii="Times New Roman" w:hAnsi="Times New Roman"/>
                <w:sz w:val="24"/>
                <w:szCs w:val="24"/>
              </w:rPr>
              <w:t>eshte e para shkolle profesionale ne te gjitha njesite e qeverisjes vendore te qarkut te Shkodres. Ndertimi i kesaj godine</w:t>
            </w:r>
            <w:r w:rsidR="00AD4B89" w:rsidRPr="00794B7B">
              <w:rPr>
                <w:rFonts w:ascii="Times New Roman" w:hAnsi="Times New Roman"/>
                <w:sz w:val="24"/>
                <w:szCs w:val="24"/>
              </w:rPr>
              <w:t xml:space="preserve"> do te siguroje mjedise te persht</w:t>
            </w:r>
            <w:r w:rsidR="00A44BB5" w:rsidRPr="00794B7B">
              <w:rPr>
                <w:rFonts w:ascii="Times New Roman" w:hAnsi="Times New Roman"/>
                <w:sz w:val="24"/>
                <w:szCs w:val="24"/>
              </w:rPr>
              <w:t xml:space="preserve">atshme per  nxensit  nga  te gjithe rrethet e Shkodres dhe me gjere, qe duan te aftesohen ne arsimin profesional prane kesaj shkolle. </w:t>
            </w:r>
            <w:r w:rsidR="00794B7B" w:rsidRPr="00794B7B">
              <w:rPr>
                <w:rFonts w:ascii="Times New Roman" w:hAnsi="Times New Roman"/>
                <w:sz w:val="24"/>
                <w:szCs w:val="24"/>
              </w:rPr>
              <w:t>Me ane te ketij projekti synohet te krijohet nje model edhe promovimi dhe funksionimi te te gjithe elementeve te arsimit profesional.</w:t>
            </w:r>
            <w:r w:rsidR="00BD079A" w:rsidRPr="00794B7B">
              <w:rPr>
                <w:rFonts w:ascii="Times New Roman" w:hAnsi="Times New Roman"/>
                <w:sz w:val="24"/>
                <w:szCs w:val="24"/>
              </w:rPr>
              <w:t xml:space="preserve"> </w:t>
            </w:r>
          </w:p>
          <w:p w:rsidR="00F10F3C" w:rsidRPr="00E016C8" w:rsidRDefault="00F10F3C" w:rsidP="00BB5D8B">
            <w:pPr>
              <w:spacing w:after="0" w:line="240" w:lineRule="auto"/>
            </w:pPr>
          </w:p>
        </w:tc>
      </w:tr>
    </w:tbl>
    <w:p w:rsidR="00F10F3C" w:rsidRPr="00E016C8" w:rsidRDefault="00F10F3C" w:rsidP="00F10F3C">
      <w:pPr>
        <w:rPr>
          <w:b/>
        </w:rPr>
      </w:pPr>
    </w:p>
    <w:p w:rsidR="00F10F3C" w:rsidRPr="00E016C8" w:rsidRDefault="00F10F3C" w:rsidP="00F10F3C">
      <w:pPr>
        <w:pStyle w:val="ListParagraph"/>
        <w:numPr>
          <w:ilvl w:val="0"/>
          <w:numId w:val="1"/>
        </w:numPr>
      </w:pPr>
      <w:r w:rsidRPr="00E016C8">
        <w:rPr>
          <w:b/>
        </w:rPr>
        <w:t xml:space="preserve">Analiza e Situatës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8"/>
      </w:tblGrid>
      <w:tr w:rsidR="00F10F3C" w:rsidRPr="00794B7B" w:rsidTr="00BB5D8B">
        <w:trPr>
          <w:trHeight w:val="1043"/>
        </w:trPr>
        <w:tc>
          <w:tcPr>
            <w:tcW w:w="9558" w:type="dxa"/>
          </w:tcPr>
          <w:p w:rsidR="00F10F3C" w:rsidRPr="00794B7B" w:rsidRDefault="0057431D" w:rsidP="00BB5D8B">
            <w:pPr>
              <w:spacing w:after="0" w:line="240" w:lineRule="auto"/>
              <w:rPr>
                <w:rFonts w:ascii="Times New Roman" w:hAnsi="Times New Roman"/>
                <w:color w:val="000000"/>
                <w:sz w:val="24"/>
                <w:szCs w:val="24"/>
                <w:shd w:val="clear" w:color="auto" w:fill="E9E9E9"/>
              </w:rPr>
            </w:pPr>
            <w:r w:rsidRPr="00794B7B">
              <w:rPr>
                <w:rFonts w:ascii="Times New Roman" w:hAnsi="Times New Roman"/>
                <w:i/>
                <w:sz w:val="24"/>
                <w:szCs w:val="24"/>
              </w:rPr>
              <w:t xml:space="preserve"> </w:t>
            </w:r>
            <w:r w:rsidRPr="00794B7B">
              <w:rPr>
                <w:rFonts w:ascii="Times New Roman" w:hAnsi="Times New Roman"/>
                <w:sz w:val="24"/>
                <w:szCs w:val="24"/>
              </w:rPr>
              <w:t>Komuna Bushat ka nje siperfaqe prej 100 km, popullsi prej 25 000 banoresh dhe perbehet prej 14 fsh</w:t>
            </w:r>
            <w:r w:rsidR="00016FBF">
              <w:rPr>
                <w:rFonts w:ascii="Times New Roman" w:hAnsi="Times New Roman"/>
                <w:sz w:val="24"/>
                <w:szCs w:val="24"/>
              </w:rPr>
              <w:t>at</w:t>
            </w:r>
            <w:r w:rsidRPr="00794B7B">
              <w:rPr>
                <w:rFonts w:ascii="Times New Roman" w:hAnsi="Times New Roman"/>
                <w:sz w:val="24"/>
                <w:szCs w:val="24"/>
              </w:rPr>
              <w:t xml:space="preserve">rave me distance te konsiderueshme. </w:t>
            </w:r>
            <w:r w:rsidRPr="00794B7B">
              <w:rPr>
                <w:rFonts w:ascii="Times New Roman" w:hAnsi="Times New Roman"/>
                <w:i/>
                <w:sz w:val="24"/>
                <w:szCs w:val="24"/>
              </w:rPr>
              <w:t xml:space="preserve"> </w:t>
            </w:r>
            <w:r w:rsidR="00A44BB5" w:rsidRPr="00794B7B">
              <w:rPr>
                <w:rFonts w:ascii="Times New Roman" w:hAnsi="Times New Roman"/>
                <w:i/>
                <w:sz w:val="24"/>
                <w:szCs w:val="24"/>
              </w:rPr>
              <w:t xml:space="preserve">Aktulisht ne Komunen Bushat eshte ndertuar </w:t>
            </w:r>
            <w:r w:rsidRPr="00794B7B">
              <w:rPr>
                <w:rFonts w:ascii="Times New Roman" w:hAnsi="Times New Roman"/>
                <w:i/>
                <w:sz w:val="24"/>
                <w:szCs w:val="24"/>
              </w:rPr>
              <w:t xml:space="preserve">shkolla e mesme profesionale ‘Ndre Mjeda” </w:t>
            </w:r>
            <w:r w:rsidR="00A44BB5" w:rsidRPr="00794B7B">
              <w:rPr>
                <w:rFonts w:ascii="Times New Roman" w:hAnsi="Times New Roman"/>
                <w:i/>
                <w:sz w:val="24"/>
                <w:szCs w:val="24"/>
              </w:rPr>
              <w:t>, e cila ofron 14 dege te drejtimit Agro- Bujqesor ne permbushje te objektivave te Ministrise se Arsimit dhe Shkences</w:t>
            </w:r>
            <w:r w:rsidRPr="00794B7B">
              <w:rPr>
                <w:rFonts w:ascii="Times New Roman" w:hAnsi="Times New Roman"/>
                <w:i/>
                <w:sz w:val="24"/>
                <w:szCs w:val="24"/>
              </w:rPr>
              <w:t xml:space="preserve">, te </w:t>
            </w:r>
            <w:r w:rsidRPr="00794B7B">
              <w:rPr>
                <w:rFonts w:ascii="Times New Roman" w:hAnsi="Times New Roman"/>
                <w:color w:val="000000"/>
                <w:sz w:val="24"/>
                <w:szCs w:val="24"/>
                <w:shd w:val="clear" w:color="auto" w:fill="E9E9E9"/>
              </w:rPr>
              <w:t xml:space="preserve"> institucioneve  </w:t>
            </w:r>
            <w:r w:rsidR="00A31EBC" w:rsidRPr="00794B7B">
              <w:rPr>
                <w:rFonts w:ascii="Times New Roman" w:hAnsi="Times New Roman"/>
                <w:color w:val="000000"/>
                <w:sz w:val="24"/>
                <w:szCs w:val="24"/>
                <w:shd w:val="clear" w:color="auto" w:fill="E9E9E9"/>
              </w:rPr>
              <w:t>qeveritare dhe jo</w:t>
            </w:r>
            <w:r w:rsidR="003D538F" w:rsidRPr="00794B7B">
              <w:rPr>
                <w:rFonts w:ascii="Times New Roman" w:hAnsi="Times New Roman"/>
                <w:color w:val="000000"/>
                <w:sz w:val="24"/>
                <w:szCs w:val="24"/>
                <w:shd w:val="clear" w:color="auto" w:fill="E9E9E9"/>
              </w:rPr>
              <w:t xml:space="preserve"> </w:t>
            </w:r>
            <w:r w:rsidR="00A31EBC" w:rsidRPr="00794B7B">
              <w:rPr>
                <w:rFonts w:ascii="Times New Roman" w:hAnsi="Times New Roman"/>
                <w:color w:val="000000"/>
                <w:sz w:val="24"/>
                <w:szCs w:val="24"/>
                <w:shd w:val="clear" w:color="auto" w:fill="E9E9E9"/>
              </w:rPr>
              <w:t xml:space="preserve">qeveritare, për të hulumtuar nevojat e ekonomisë së tregut në mënyrë që të bëjë lidhjen e arsimit profesional me nevojat e ekonomisë. </w:t>
            </w:r>
          </w:p>
          <w:p w:rsidR="0057431D" w:rsidRPr="00794B7B" w:rsidRDefault="00A31EBC" w:rsidP="00BB5D8B">
            <w:pPr>
              <w:spacing w:after="0" w:line="240" w:lineRule="auto"/>
              <w:rPr>
                <w:rFonts w:ascii="Times New Roman" w:hAnsi="Times New Roman"/>
                <w:i/>
                <w:sz w:val="24"/>
                <w:szCs w:val="24"/>
              </w:rPr>
            </w:pPr>
            <w:r w:rsidRPr="00794B7B">
              <w:rPr>
                <w:rFonts w:ascii="Times New Roman" w:hAnsi="Times New Roman"/>
                <w:i/>
                <w:sz w:val="24"/>
                <w:szCs w:val="24"/>
              </w:rPr>
              <w:t xml:space="preserve">Krijimi i kesaj shkolle profesionale ka sjelle dhe kerkesa te shumta nga ana e nxenesve qe sjane nga Komuna Bushat, por deshirojne te aftesohen ne keto drejtime. </w:t>
            </w:r>
            <w:r w:rsidR="00D37AC2" w:rsidRPr="00794B7B">
              <w:rPr>
                <w:rFonts w:ascii="Times New Roman" w:hAnsi="Times New Roman"/>
                <w:i/>
                <w:sz w:val="24"/>
                <w:szCs w:val="24"/>
              </w:rPr>
              <w:t xml:space="preserve">Por duke qene se prane kesaj shkolle nuk ka nje konvikt,dhe mundesite per tu akomoduar ne mjedise te tjera si psh, te marrin shtepi apo dhoma me qera jane teper </w:t>
            </w:r>
            <w:r w:rsidR="00D37AC2" w:rsidRPr="00794B7B">
              <w:rPr>
                <w:rFonts w:ascii="Times New Roman" w:hAnsi="Times New Roman"/>
                <w:i/>
                <w:sz w:val="24"/>
                <w:szCs w:val="24"/>
              </w:rPr>
              <w:lastRenderedPageBreak/>
              <w:t>te vogla dh</w:t>
            </w:r>
            <w:r w:rsidR="00D23C70" w:rsidRPr="00794B7B">
              <w:rPr>
                <w:rFonts w:ascii="Times New Roman" w:hAnsi="Times New Roman"/>
                <w:i/>
                <w:sz w:val="24"/>
                <w:szCs w:val="24"/>
              </w:rPr>
              <w:t>e me kosto relativisht te madhe. Kjo sjell dh</w:t>
            </w:r>
            <w:r w:rsidR="003D538F" w:rsidRPr="00794B7B">
              <w:rPr>
                <w:rFonts w:ascii="Times New Roman" w:hAnsi="Times New Roman"/>
                <w:i/>
                <w:sz w:val="24"/>
                <w:szCs w:val="24"/>
              </w:rPr>
              <w:t>e ulje te numrit te nxenesve prane ketij gjimnazi. Kshuqe lind nevoja imediate per te krijuar nje konvikt qe do e plot</w:t>
            </w:r>
            <w:r w:rsidR="00136CBF" w:rsidRPr="00794B7B">
              <w:rPr>
                <w:rFonts w:ascii="Times New Roman" w:hAnsi="Times New Roman"/>
                <w:i/>
                <w:sz w:val="24"/>
                <w:szCs w:val="24"/>
              </w:rPr>
              <w:t xml:space="preserve">esone kte shkolle duke krijuar mjedise te pershtatshme fjetjeje, ngrenieje, salle  studimi dhe te gjitha keto ne kushte sigurie dhe higjeno – sanitare me standarte model. I gjithe ky sherbim synohet te ofrohet kundrejt pagimit te nje tarife te pershtatshme dhe te perballueshme ekonomikisht nga cdo familje. </w:t>
            </w:r>
          </w:p>
          <w:p w:rsidR="00F10F3C" w:rsidRPr="00794B7B" w:rsidRDefault="00136CBF" w:rsidP="00BB5D8B">
            <w:pPr>
              <w:spacing w:after="0" w:line="240" w:lineRule="auto"/>
              <w:rPr>
                <w:rFonts w:ascii="Times New Roman" w:hAnsi="Times New Roman"/>
                <w:i/>
                <w:sz w:val="24"/>
                <w:szCs w:val="24"/>
              </w:rPr>
            </w:pPr>
            <w:r w:rsidRPr="00794B7B">
              <w:rPr>
                <w:rFonts w:ascii="Times New Roman" w:hAnsi="Times New Roman"/>
                <w:i/>
                <w:sz w:val="24"/>
                <w:szCs w:val="24"/>
              </w:rPr>
              <w:t xml:space="preserve"> </w:t>
            </w:r>
            <w:r w:rsidR="0057431D" w:rsidRPr="00794B7B">
              <w:rPr>
                <w:rFonts w:ascii="Times New Roman" w:hAnsi="Times New Roman"/>
                <w:sz w:val="24"/>
                <w:szCs w:val="24"/>
              </w:rPr>
              <w:t>Ndërtimi i konviktit në Komunën Bushat është një nga prioritetet e komunitetit dhe si i tillë është tashmë pjesë e listës së prioriteteve të shprehura në Planin Strategjik të Zhvillimit Vendor të hartuar.</w:t>
            </w:r>
            <w:r w:rsidR="003D538F" w:rsidRPr="00794B7B">
              <w:rPr>
                <w:rFonts w:ascii="Times New Roman" w:hAnsi="Times New Roman"/>
                <w:i/>
                <w:sz w:val="24"/>
                <w:szCs w:val="24"/>
              </w:rPr>
              <w:t xml:space="preserve"> </w:t>
            </w:r>
          </w:p>
          <w:p w:rsidR="00F10F3C" w:rsidRPr="00794B7B" w:rsidRDefault="00F10F3C" w:rsidP="00BB5D8B">
            <w:pPr>
              <w:spacing w:after="0" w:line="240" w:lineRule="auto"/>
              <w:rPr>
                <w:rFonts w:ascii="Times New Roman" w:hAnsi="Times New Roman"/>
                <w:b/>
                <w:sz w:val="24"/>
                <w:szCs w:val="24"/>
              </w:rPr>
            </w:pPr>
          </w:p>
        </w:tc>
      </w:tr>
    </w:tbl>
    <w:p w:rsidR="00F10F3C" w:rsidRPr="00794B7B" w:rsidRDefault="00F10F3C" w:rsidP="00F10F3C">
      <w:pPr>
        <w:pStyle w:val="ListParagraph"/>
        <w:numPr>
          <w:ilvl w:val="0"/>
          <w:numId w:val="1"/>
        </w:numPr>
        <w:rPr>
          <w:rFonts w:ascii="Times New Roman" w:hAnsi="Times New Roman"/>
          <w:b/>
          <w:sz w:val="24"/>
          <w:szCs w:val="24"/>
        </w:rPr>
      </w:pPr>
      <w:r w:rsidRPr="00794B7B">
        <w:rPr>
          <w:rFonts w:ascii="Times New Roman" w:hAnsi="Times New Roman"/>
          <w:b/>
          <w:sz w:val="24"/>
          <w:szCs w:val="24"/>
        </w:rPr>
        <w:lastRenderedPageBreak/>
        <w:t xml:space="preserve">Analiza e aktorëve; Grupet në fokus dhe përfituesit </w:t>
      </w:r>
      <w:r w:rsidRPr="00794B7B">
        <w:rPr>
          <w:rFonts w:ascii="Times New Roman" w:hAnsi="Times New Roman"/>
          <w:sz w:val="24"/>
          <w:szCs w:val="24"/>
        </w:rPr>
        <w:t>(maks. 1  fq.)</w:t>
      </w:r>
      <w:r w:rsidRPr="00794B7B">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794B7B" w:rsidTr="00BB5D8B">
        <w:trPr>
          <w:trHeight w:val="1007"/>
        </w:trPr>
        <w:tc>
          <w:tcPr>
            <w:tcW w:w="9576" w:type="dxa"/>
          </w:tcPr>
          <w:p w:rsidR="00F10F3C" w:rsidRPr="00794B7B" w:rsidRDefault="00390C83" w:rsidP="00BB5D8B">
            <w:pPr>
              <w:spacing w:after="0" w:line="240" w:lineRule="auto"/>
              <w:jc w:val="both"/>
              <w:rPr>
                <w:rFonts w:ascii="Times New Roman" w:hAnsi="Times New Roman"/>
                <w:sz w:val="24"/>
                <w:szCs w:val="24"/>
              </w:rPr>
            </w:pPr>
            <w:r w:rsidRPr="00794B7B">
              <w:rPr>
                <w:rFonts w:ascii="Times New Roman" w:hAnsi="Times New Roman"/>
                <w:sz w:val="24"/>
                <w:szCs w:val="24"/>
              </w:rPr>
              <w:t xml:space="preserve">Perfitues direkt: </w:t>
            </w:r>
            <w:r w:rsidR="00C76559">
              <w:rPr>
                <w:rFonts w:ascii="Times New Roman" w:hAnsi="Times New Roman"/>
                <w:color w:val="FF0000"/>
                <w:sz w:val="24"/>
                <w:szCs w:val="24"/>
              </w:rPr>
              <w:t>120</w:t>
            </w:r>
            <w:r w:rsidR="00C76559" w:rsidRPr="00794B7B">
              <w:rPr>
                <w:rFonts w:ascii="Times New Roman" w:hAnsi="Times New Roman"/>
                <w:color w:val="FF0000"/>
                <w:sz w:val="24"/>
                <w:szCs w:val="24"/>
              </w:rPr>
              <w:t xml:space="preserve"> </w:t>
            </w:r>
            <w:r w:rsidRPr="00794B7B">
              <w:rPr>
                <w:rFonts w:ascii="Times New Roman" w:hAnsi="Times New Roman"/>
                <w:sz w:val="24"/>
                <w:szCs w:val="24"/>
              </w:rPr>
              <w:t>nxenes qe do te kene mundesi te akomodohen prane ketij konvikti</w:t>
            </w:r>
          </w:p>
          <w:p w:rsidR="00F10F3C" w:rsidRPr="00794B7B" w:rsidRDefault="00390C83" w:rsidP="00BB5D8B">
            <w:pPr>
              <w:spacing w:after="0" w:line="240" w:lineRule="auto"/>
              <w:jc w:val="both"/>
              <w:rPr>
                <w:rFonts w:ascii="Times New Roman" w:hAnsi="Times New Roman"/>
                <w:sz w:val="24"/>
                <w:szCs w:val="24"/>
              </w:rPr>
            </w:pPr>
            <w:r w:rsidRPr="00794B7B">
              <w:rPr>
                <w:rFonts w:ascii="Times New Roman" w:hAnsi="Times New Roman"/>
                <w:sz w:val="24"/>
                <w:szCs w:val="24"/>
              </w:rPr>
              <w:t xml:space="preserve">Përfitues indirekt – Komuna Bushat dhe 23 816 banorë të saj si dhe 390 biznese të cilëve u ofrohet shërbimi i furnizimit me ujë të pijshëm. Ndërtimi këtij segmenti të rrjetit të kanalizimeve eleminon “ndotësin” më të madh të ujit të pijshëm për komunitetin e Komunës Bushat. </w:t>
            </w:r>
          </w:p>
        </w:tc>
      </w:tr>
    </w:tbl>
    <w:p w:rsidR="00F10F3C" w:rsidRPr="00794B7B" w:rsidRDefault="00F10F3C" w:rsidP="00F10F3C">
      <w:pPr>
        <w:rPr>
          <w:rFonts w:ascii="Times New Roman" w:hAnsi="Times New Roman"/>
          <w:b/>
          <w:sz w:val="24"/>
          <w:szCs w:val="24"/>
        </w:rPr>
      </w:pPr>
    </w:p>
    <w:p w:rsidR="00F10F3C" w:rsidRPr="00794B7B" w:rsidRDefault="00F10F3C" w:rsidP="00F10F3C">
      <w:pPr>
        <w:pStyle w:val="ListParagraph"/>
        <w:numPr>
          <w:ilvl w:val="0"/>
          <w:numId w:val="1"/>
        </w:numPr>
        <w:rPr>
          <w:rFonts w:ascii="Times New Roman" w:hAnsi="Times New Roman"/>
          <w:b/>
          <w:sz w:val="24"/>
          <w:szCs w:val="24"/>
        </w:rPr>
      </w:pPr>
      <w:r w:rsidRPr="00794B7B">
        <w:rPr>
          <w:rFonts w:ascii="Times New Roman" w:hAnsi="Times New Roman"/>
          <w:b/>
          <w:sz w:val="24"/>
          <w:szCs w:val="24"/>
        </w:rPr>
        <w:t xml:space="preserve">Objektivat e përgjithshёm dhe objektivat specifikё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8"/>
      </w:tblGrid>
      <w:tr w:rsidR="00F10F3C" w:rsidRPr="00C53B3E" w:rsidTr="00BB5D8B">
        <w:trPr>
          <w:trHeight w:val="1187"/>
        </w:trPr>
        <w:tc>
          <w:tcPr>
            <w:tcW w:w="9558" w:type="dxa"/>
          </w:tcPr>
          <w:p w:rsidR="00390C83" w:rsidRPr="00794B7B" w:rsidRDefault="00390C83" w:rsidP="00390C83">
            <w:pPr>
              <w:autoSpaceDE w:val="0"/>
              <w:autoSpaceDN w:val="0"/>
              <w:adjustRightInd w:val="0"/>
              <w:jc w:val="both"/>
              <w:rPr>
                <w:rFonts w:ascii="Times New Roman" w:hAnsi="Times New Roman"/>
                <w:sz w:val="24"/>
                <w:szCs w:val="24"/>
              </w:rPr>
            </w:pPr>
            <w:r w:rsidRPr="00794B7B">
              <w:rPr>
                <w:rFonts w:ascii="Times New Roman" w:hAnsi="Times New Roman"/>
                <w:sz w:val="24"/>
                <w:szCs w:val="24"/>
              </w:rPr>
              <w:t xml:space="preserve">Objektivat e përgjithshëm dhe specifik janë në përputhje me objektivat strategjik të Komunës dhe me objektivat që do të duhet të arrihen brenda periudhës afatmesme-afatgjatë. </w:t>
            </w:r>
          </w:p>
          <w:p w:rsidR="00F10F3C" w:rsidRPr="00794B7B" w:rsidRDefault="00390C83" w:rsidP="00390C83">
            <w:pPr>
              <w:spacing w:after="0" w:line="240" w:lineRule="auto"/>
              <w:rPr>
                <w:rFonts w:ascii="Times New Roman" w:hAnsi="Times New Roman"/>
                <w:b/>
                <w:sz w:val="24"/>
                <w:szCs w:val="24"/>
              </w:rPr>
            </w:pPr>
            <w:r w:rsidRPr="00794B7B">
              <w:rPr>
                <w:rFonts w:ascii="Times New Roman" w:hAnsi="Times New Roman"/>
                <w:b/>
                <w:sz w:val="24"/>
                <w:szCs w:val="24"/>
              </w:rPr>
              <w:t>Objektivi kryesor është: Ndertimi i nje konvikti me infrasrtukture bashkohore dhe me sherbim cilesor.</w:t>
            </w:r>
          </w:p>
          <w:p w:rsidR="00390C83" w:rsidRPr="00794B7B" w:rsidRDefault="00390C83" w:rsidP="00390C83">
            <w:pPr>
              <w:spacing w:after="0" w:line="240" w:lineRule="auto"/>
              <w:rPr>
                <w:rFonts w:ascii="Times New Roman" w:hAnsi="Times New Roman"/>
                <w:b/>
                <w:sz w:val="24"/>
                <w:szCs w:val="24"/>
              </w:rPr>
            </w:pPr>
          </w:p>
          <w:p w:rsidR="00390C83" w:rsidRPr="00794B7B" w:rsidRDefault="00390C83" w:rsidP="00390C83">
            <w:pPr>
              <w:spacing w:after="0" w:line="240" w:lineRule="auto"/>
              <w:rPr>
                <w:rFonts w:ascii="Times New Roman" w:hAnsi="Times New Roman"/>
                <w:b/>
                <w:sz w:val="24"/>
                <w:szCs w:val="24"/>
              </w:rPr>
            </w:pPr>
            <w:r w:rsidRPr="00794B7B">
              <w:rPr>
                <w:rFonts w:ascii="Times New Roman" w:hAnsi="Times New Roman"/>
                <w:b/>
                <w:sz w:val="24"/>
                <w:szCs w:val="24"/>
              </w:rPr>
              <w:t xml:space="preserve">Objektivat specifik: </w:t>
            </w:r>
          </w:p>
          <w:p w:rsidR="00390C83" w:rsidRPr="00794B7B" w:rsidRDefault="00390C83" w:rsidP="00390C83">
            <w:pPr>
              <w:spacing w:after="0" w:line="240" w:lineRule="auto"/>
              <w:rPr>
                <w:rFonts w:ascii="Times New Roman" w:hAnsi="Times New Roman"/>
                <w:b/>
                <w:sz w:val="24"/>
                <w:szCs w:val="24"/>
              </w:rPr>
            </w:pPr>
          </w:p>
          <w:p w:rsidR="00390C83" w:rsidRPr="00794B7B" w:rsidRDefault="00401C2B" w:rsidP="001D413F">
            <w:pPr>
              <w:pStyle w:val="ListParagraph"/>
              <w:numPr>
                <w:ilvl w:val="0"/>
                <w:numId w:val="3"/>
              </w:numPr>
              <w:spacing w:after="0" w:line="240" w:lineRule="auto"/>
              <w:rPr>
                <w:rFonts w:ascii="Times New Roman" w:hAnsi="Times New Roman"/>
                <w:sz w:val="24"/>
                <w:szCs w:val="24"/>
              </w:rPr>
            </w:pPr>
            <w:r w:rsidRPr="00794B7B">
              <w:rPr>
                <w:rFonts w:ascii="Times New Roman" w:hAnsi="Times New Roman"/>
                <w:sz w:val="24"/>
                <w:szCs w:val="24"/>
              </w:rPr>
              <w:t>Akomodim per nxenesit qe duan te aftesohen prane kesaj shkolle</w:t>
            </w:r>
          </w:p>
          <w:p w:rsidR="001D413F" w:rsidRPr="00794B7B" w:rsidRDefault="001D413F" w:rsidP="00390C83">
            <w:pPr>
              <w:pStyle w:val="ListParagraph"/>
              <w:numPr>
                <w:ilvl w:val="0"/>
                <w:numId w:val="3"/>
              </w:numPr>
              <w:spacing w:after="0" w:line="240" w:lineRule="auto"/>
              <w:rPr>
                <w:rFonts w:ascii="Times New Roman" w:hAnsi="Times New Roman"/>
                <w:sz w:val="24"/>
                <w:szCs w:val="24"/>
              </w:rPr>
            </w:pPr>
            <w:r w:rsidRPr="00794B7B">
              <w:rPr>
                <w:rFonts w:ascii="Times New Roman" w:hAnsi="Times New Roman"/>
                <w:sz w:val="24"/>
                <w:szCs w:val="24"/>
              </w:rPr>
              <w:t>Mjedis stimilues qe ndikon ne formimin kulturor dhe ne rritjen e vazhdueshme te nivelit profesional te nxenesve</w:t>
            </w:r>
          </w:p>
          <w:p w:rsidR="00390C83" w:rsidRPr="00794B7B" w:rsidRDefault="00190180" w:rsidP="00190180">
            <w:pPr>
              <w:pStyle w:val="ListParagraph"/>
              <w:numPr>
                <w:ilvl w:val="0"/>
                <w:numId w:val="3"/>
              </w:numPr>
              <w:spacing w:after="0" w:line="240" w:lineRule="auto"/>
              <w:rPr>
                <w:rFonts w:ascii="Times New Roman" w:hAnsi="Times New Roman"/>
                <w:sz w:val="24"/>
                <w:szCs w:val="24"/>
              </w:rPr>
            </w:pPr>
            <w:r w:rsidRPr="00794B7B">
              <w:rPr>
                <w:rFonts w:ascii="Times New Roman" w:hAnsi="Times New Roman"/>
                <w:sz w:val="24"/>
                <w:szCs w:val="24"/>
              </w:rPr>
              <w:t xml:space="preserve">Ambiente te pershtatshme e sherbim me </w:t>
            </w:r>
            <w:r w:rsidR="001D413F" w:rsidRPr="00794B7B">
              <w:rPr>
                <w:rFonts w:ascii="Times New Roman" w:hAnsi="Times New Roman"/>
                <w:sz w:val="24"/>
                <w:szCs w:val="24"/>
              </w:rPr>
              <w:t xml:space="preserve"> kosto te ulet</w:t>
            </w:r>
          </w:p>
          <w:p w:rsidR="00F10F3C" w:rsidRPr="00794B7B" w:rsidRDefault="00BD079A" w:rsidP="00AD4B89">
            <w:pPr>
              <w:pStyle w:val="ListParagraph"/>
              <w:numPr>
                <w:ilvl w:val="0"/>
                <w:numId w:val="3"/>
              </w:numPr>
              <w:spacing w:after="0" w:line="240" w:lineRule="auto"/>
              <w:rPr>
                <w:rFonts w:ascii="Times New Roman" w:hAnsi="Times New Roman"/>
                <w:sz w:val="24"/>
                <w:szCs w:val="24"/>
              </w:rPr>
            </w:pPr>
            <w:r w:rsidRPr="00794B7B">
              <w:rPr>
                <w:rFonts w:ascii="Times New Roman" w:hAnsi="Times New Roman"/>
                <w:color w:val="000000"/>
                <w:sz w:val="24"/>
                <w:szCs w:val="24"/>
                <w:shd w:val="clear" w:color="auto" w:fill="FFFFFF"/>
              </w:rPr>
              <w:t>Zhvillimit të mëtejshëm t</w:t>
            </w:r>
            <w:r w:rsidR="00190180" w:rsidRPr="00794B7B">
              <w:rPr>
                <w:rFonts w:ascii="Times New Roman" w:hAnsi="Times New Roman"/>
                <w:color w:val="000000"/>
                <w:sz w:val="24"/>
                <w:szCs w:val="24"/>
                <w:shd w:val="clear" w:color="auto" w:fill="FFFFFF"/>
              </w:rPr>
              <w:t xml:space="preserve">e shkolles bujqesore </w:t>
            </w:r>
          </w:p>
          <w:p w:rsidR="00F10F3C" w:rsidRPr="00C53B3E" w:rsidRDefault="00190180" w:rsidP="00BB5D8B">
            <w:pPr>
              <w:spacing w:after="0" w:line="240" w:lineRule="auto"/>
              <w:rPr>
                <w:rFonts w:ascii="Times New Roman" w:hAnsi="Times New Roman"/>
                <w:sz w:val="24"/>
                <w:szCs w:val="24"/>
              </w:rPr>
            </w:pPr>
            <w:r w:rsidRPr="00794B7B">
              <w:rPr>
                <w:rFonts w:ascii="Times New Roman" w:hAnsi="Times New Roman"/>
                <w:sz w:val="24"/>
                <w:szCs w:val="24"/>
              </w:rPr>
              <w:t>Rritje te numrit te nxenesve qe frekuentojne kete shkolle</w:t>
            </w:r>
          </w:p>
        </w:tc>
      </w:tr>
      <w:tr w:rsidR="00190180" w:rsidRPr="00C53B3E" w:rsidTr="00BB5D8B">
        <w:trPr>
          <w:trHeight w:val="1187"/>
        </w:trPr>
        <w:tc>
          <w:tcPr>
            <w:tcW w:w="9558" w:type="dxa"/>
          </w:tcPr>
          <w:p w:rsidR="00190180" w:rsidRPr="00C53B3E" w:rsidRDefault="00190180" w:rsidP="00390C83">
            <w:pPr>
              <w:autoSpaceDE w:val="0"/>
              <w:autoSpaceDN w:val="0"/>
              <w:adjustRightInd w:val="0"/>
              <w:jc w:val="both"/>
              <w:rPr>
                <w:rFonts w:ascii="Times New Roman" w:hAnsi="Times New Roman"/>
                <w:sz w:val="24"/>
                <w:szCs w:val="24"/>
              </w:rPr>
            </w:pPr>
          </w:p>
        </w:tc>
      </w:tr>
    </w:tbl>
    <w:p w:rsidR="00F10F3C" w:rsidRPr="00C53B3E" w:rsidRDefault="00F10F3C" w:rsidP="00F10F3C">
      <w:pPr>
        <w:ind w:left="360"/>
        <w:rPr>
          <w:rFonts w:ascii="Times New Roman" w:hAnsi="Times New Roman"/>
          <w:b/>
          <w:sz w:val="24"/>
          <w:szCs w:val="24"/>
        </w:rPr>
      </w:pPr>
    </w:p>
    <w:p w:rsidR="00F10F3C" w:rsidRPr="00C53B3E" w:rsidRDefault="00F10F3C" w:rsidP="00F10F3C">
      <w:pPr>
        <w:pStyle w:val="ListParagraph"/>
        <w:numPr>
          <w:ilvl w:val="0"/>
          <w:numId w:val="1"/>
        </w:numPr>
        <w:rPr>
          <w:rFonts w:ascii="Times New Roman" w:hAnsi="Times New Roman"/>
          <w:b/>
          <w:sz w:val="24"/>
          <w:szCs w:val="24"/>
        </w:rPr>
      </w:pPr>
      <w:r w:rsidRPr="00C53B3E">
        <w:rPr>
          <w:rFonts w:ascii="Times New Roman" w:hAnsi="Times New Roman"/>
          <w:b/>
          <w:sz w:val="24"/>
          <w:szCs w:val="24"/>
        </w:rPr>
        <w:t xml:space="preserve">Rezultatet e pritshme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794B7B" w:rsidTr="00BB5D8B">
        <w:trPr>
          <w:trHeight w:val="2904"/>
        </w:trPr>
        <w:tc>
          <w:tcPr>
            <w:tcW w:w="9591" w:type="dxa"/>
          </w:tcPr>
          <w:p w:rsidR="00F10F3C" w:rsidRPr="00C53B3E" w:rsidRDefault="00F10F3C" w:rsidP="00BB5D8B">
            <w:pPr>
              <w:spacing w:after="0" w:line="240" w:lineRule="auto"/>
              <w:jc w:val="both"/>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7"/>
              <w:gridCol w:w="2748"/>
              <w:gridCol w:w="2775"/>
            </w:tblGrid>
            <w:tr w:rsidR="00F10F3C" w:rsidRPr="00794B7B" w:rsidTr="00BB5D8B">
              <w:trPr>
                <w:trHeight w:val="548"/>
              </w:trPr>
              <w:tc>
                <w:tcPr>
                  <w:tcW w:w="3120" w:type="dxa"/>
                  <w:shd w:val="clear" w:color="auto" w:fill="A6A6A6"/>
                </w:tcPr>
                <w:p w:rsidR="00F10F3C" w:rsidRPr="00C53B3E" w:rsidRDefault="00B517D4" w:rsidP="00BB5D8B">
                  <w:pPr>
                    <w:jc w:val="both"/>
                    <w:rPr>
                      <w:rFonts w:ascii="Times New Roman" w:hAnsi="Times New Roman"/>
                      <w:sz w:val="24"/>
                      <w:szCs w:val="24"/>
                    </w:rPr>
                  </w:pPr>
                  <w:r>
                    <w:rPr>
                      <w:rFonts w:ascii="Times New Roman" w:hAnsi="Times New Roman"/>
                      <w:sz w:val="24"/>
                      <w:szCs w:val="24"/>
                    </w:rPr>
                    <w:t>Rezultatet</w:t>
                  </w:r>
                </w:p>
              </w:tc>
              <w:tc>
                <w:tcPr>
                  <w:tcW w:w="3120" w:type="dxa"/>
                  <w:shd w:val="clear" w:color="auto" w:fill="A6A6A6"/>
                </w:tcPr>
                <w:p w:rsidR="00F10F3C" w:rsidRPr="00794B7B" w:rsidRDefault="00F10F3C" w:rsidP="00BB5D8B">
                  <w:pPr>
                    <w:jc w:val="both"/>
                    <w:rPr>
                      <w:rFonts w:ascii="Times New Roman" w:hAnsi="Times New Roman"/>
                      <w:sz w:val="24"/>
                      <w:szCs w:val="24"/>
                    </w:rPr>
                  </w:pPr>
                  <w:r w:rsidRPr="00794B7B">
                    <w:rPr>
                      <w:rFonts w:ascii="Times New Roman" w:hAnsi="Times New Roman"/>
                      <w:sz w:val="24"/>
                      <w:szCs w:val="24"/>
                    </w:rPr>
                    <w:t>Indikatorët</w:t>
                  </w:r>
                </w:p>
              </w:tc>
              <w:tc>
                <w:tcPr>
                  <w:tcW w:w="3120" w:type="dxa"/>
                  <w:shd w:val="clear" w:color="auto" w:fill="A6A6A6"/>
                </w:tcPr>
                <w:p w:rsidR="00F10F3C" w:rsidRPr="00794B7B" w:rsidRDefault="00F10F3C" w:rsidP="00BB5D8B">
                  <w:pPr>
                    <w:jc w:val="both"/>
                    <w:rPr>
                      <w:rFonts w:ascii="Times New Roman" w:hAnsi="Times New Roman"/>
                      <w:sz w:val="24"/>
                      <w:szCs w:val="24"/>
                    </w:rPr>
                  </w:pPr>
                  <w:r w:rsidRPr="00794B7B">
                    <w:rPr>
                      <w:rFonts w:ascii="Times New Roman" w:hAnsi="Times New Roman"/>
                      <w:sz w:val="24"/>
                      <w:szCs w:val="24"/>
                    </w:rPr>
                    <w:t>Mënyra e</w:t>
                  </w:r>
                  <w:r w:rsidRPr="00794B7B">
                    <w:rPr>
                      <w:rFonts w:ascii="Times New Roman" w:hAnsi="Times New Roman"/>
                      <w:sz w:val="24"/>
                      <w:szCs w:val="24"/>
                    </w:rPr>
                    <w:cr/>
                    <w:t xml:space="preserve">Verifikimit </w:t>
                  </w:r>
                </w:p>
              </w:tc>
            </w:tr>
            <w:tr w:rsidR="00F10F3C" w:rsidRPr="00794B7B" w:rsidTr="00BB5D8B">
              <w:trPr>
                <w:trHeight w:val="548"/>
              </w:trPr>
              <w:tc>
                <w:tcPr>
                  <w:tcW w:w="3120" w:type="dxa"/>
                </w:tcPr>
                <w:p w:rsidR="00F10F3C" w:rsidRPr="00794B7B" w:rsidRDefault="00F10F3C" w:rsidP="00BB5D8B">
                  <w:pPr>
                    <w:jc w:val="both"/>
                    <w:rPr>
                      <w:rFonts w:ascii="Times New Roman" w:hAnsi="Times New Roman"/>
                      <w:sz w:val="24"/>
                      <w:szCs w:val="24"/>
                    </w:rPr>
                  </w:pPr>
                  <w:r w:rsidRPr="00794B7B">
                    <w:rPr>
                      <w:rFonts w:ascii="Times New Roman" w:hAnsi="Times New Roman"/>
                      <w:sz w:val="24"/>
                      <w:szCs w:val="24"/>
                    </w:rPr>
                    <w:t>Rezultati 1</w:t>
                  </w:r>
                </w:p>
                <w:p w:rsidR="00DD4817" w:rsidRPr="00794B7B" w:rsidRDefault="00DD4817" w:rsidP="00BB5D8B">
                  <w:pPr>
                    <w:jc w:val="both"/>
                    <w:rPr>
                      <w:rFonts w:ascii="Times New Roman" w:hAnsi="Times New Roman"/>
                      <w:sz w:val="24"/>
                      <w:szCs w:val="24"/>
                    </w:rPr>
                  </w:pPr>
                  <w:r w:rsidRPr="00794B7B">
                    <w:rPr>
                      <w:rFonts w:ascii="Times New Roman" w:hAnsi="Times New Roman"/>
                      <w:sz w:val="24"/>
                      <w:szCs w:val="24"/>
                    </w:rPr>
                    <w:t>Ndertimi i godines</w:t>
                  </w:r>
                </w:p>
              </w:tc>
              <w:tc>
                <w:tcPr>
                  <w:tcW w:w="3120" w:type="dxa"/>
                </w:tcPr>
                <w:p w:rsidR="00F10F3C" w:rsidRPr="00794B7B" w:rsidRDefault="00DD4817" w:rsidP="00BB5D8B">
                  <w:pPr>
                    <w:spacing w:after="0" w:line="240" w:lineRule="auto"/>
                    <w:jc w:val="both"/>
                    <w:rPr>
                      <w:rFonts w:ascii="Times New Roman" w:hAnsi="Times New Roman"/>
                      <w:sz w:val="24"/>
                      <w:szCs w:val="24"/>
                    </w:rPr>
                  </w:pPr>
                  <w:r w:rsidRPr="00794B7B">
                    <w:rPr>
                      <w:rFonts w:ascii="Times New Roman" w:hAnsi="Times New Roman"/>
                      <w:sz w:val="24"/>
                      <w:szCs w:val="24"/>
                    </w:rPr>
                    <w:t>Konvikti ka nje siperfaqe prej x m</w:t>
                  </w:r>
                  <w:r w:rsidRPr="00794B7B">
                    <w:rPr>
                      <w:rFonts w:ascii="Times New Roman" w:hAnsi="Times New Roman"/>
                      <w:sz w:val="24"/>
                      <w:szCs w:val="24"/>
                      <w:vertAlign w:val="superscript"/>
                    </w:rPr>
                    <w:t>2</w:t>
                  </w:r>
                  <w:r w:rsidRPr="00794B7B">
                    <w:rPr>
                      <w:rFonts w:ascii="Times New Roman" w:hAnsi="Times New Roman"/>
                      <w:sz w:val="24"/>
                      <w:szCs w:val="24"/>
                    </w:rPr>
                    <w:t xml:space="preserve"> , i ndertuar brenda vitit 2012</w:t>
                  </w:r>
                </w:p>
              </w:tc>
              <w:tc>
                <w:tcPr>
                  <w:tcW w:w="3120" w:type="dxa"/>
                </w:tcPr>
                <w:p w:rsidR="00F10F3C" w:rsidRPr="00794B7B" w:rsidRDefault="007F17FF" w:rsidP="00BB5D8B">
                  <w:pPr>
                    <w:spacing w:after="0" w:line="240" w:lineRule="auto"/>
                    <w:jc w:val="both"/>
                    <w:rPr>
                      <w:rFonts w:ascii="Times New Roman" w:hAnsi="Times New Roman"/>
                      <w:sz w:val="24"/>
                      <w:szCs w:val="24"/>
                    </w:rPr>
                  </w:pPr>
                  <w:r w:rsidRPr="00794B7B">
                    <w:rPr>
                      <w:rFonts w:ascii="Times New Roman" w:hAnsi="Times New Roman"/>
                      <w:sz w:val="24"/>
                      <w:szCs w:val="24"/>
                    </w:rPr>
                    <w:t>Buxheti, Programi Buxhetor Afatmesëm, Plani Strategjik i Zhvillimit Vendor, Rregjistri prokurimeve publike, dosja e tenderit</w:t>
                  </w:r>
                </w:p>
              </w:tc>
            </w:tr>
            <w:tr w:rsidR="00F10F3C" w:rsidRPr="00794B7B" w:rsidTr="00BB5D8B">
              <w:trPr>
                <w:trHeight w:val="548"/>
              </w:trPr>
              <w:tc>
                <w:tcPr>
                  <w:tcW w:w="3120" w:type="dxa"/>
                </w:tcPr>
                <w:p w:rsidR="00F10F3C" w:rsidRPr="00794B7B" w:rsidRDefault="00F10F3C" w:rsidP="00BB5D8B">
                  <w:pPr>
                    <w:jc w:val="both"/>
                    <w:rPr>
                      <w:rFonts w:ascii="Times New Roman" w:hAnsi="Times New Roman"/>
                      <w:sz w:val="24"/>
                      <w:szCs w:val="24"/>
                    </w:rPr>
                  </w:pPr>
                  <w:r w:rsidRPr="00794B7B">
                    <w:rPr>
                      <w:rFonts w:ascii="Times New Roman" w:hAnsi="Times New Roman"/>
                      <w:sz w:val="24"/>
                      <w:szCs w:val="24"/>
                    </w:rPr>
                    <w:t>Rezultati 2</w:t>
                  </w:r>
                </w:p>
                <w:p w:rsidR="007F17FF" w:rsidRPr="00794B7B" w:rsidRDefault="007F17FF" w:rsidP="00BB5D8B">
                  <w:pPr>
                    <w:jc w:val="both"/>
                    <w:rPr>
                      <w:rFonts w:ascii="Times New Roman" w:hAnsi="Times New Roman"/>
                      <w:sz w:val="24"/>
                      <w:szCs w:val="24"/>
                    </w:rPr>
                  </w:pPr>
                  <w:r w:rsidRPr="00794B7B">
                    <w:rPr>
                      <w:rFonts w:ascii="Times New Roman" w:hAnsi="Times New Roman"/>
                      <w:sz w:val="24"/>
                      <w:szCs w:val="24"/>
                    </w:rPr>
                    <w:t>Ifrastrukture moderne dhe me kushte bashkekohore</w:t>
                  </w:r>
                </w:p>
              </w:tc>
              <w:tc>
                <w:tcPr>
                  <w:tcW w:w="3120" w:type="dxa"/>
                </w:tcPr>
                <w:p w:rsidR="007F17FF" w:rsidRPr="00794B7B" w:rsidRDefault="007F17FF" w:rsidP="00BB5D8B">
                  <w:pPr>
                    <w:spacing w:after="0" w:line="240" w:lineRule="auto"/>
                    <w:jc w:val="both"/>
                    <w:rPr>
                      <w:rFonts w:ascii="Times New Roman" w:hAnsi="Times New Roman"/>
                      <w:sz w:val="24"/>
                      <w:szCs w:val="24"/>
                    </w:rPr>
                  </w:pPr>
                </w:p>
                <w:p w:rsidR="00F10F3C" w:rsidRPr="00794B7B" w:rsidRDefault="007F17FF" w:rsidP="007F17FF">
                  <w:pPr>
                    <w:rPr>
                      <w:rFonts w:ascii="Times New Roman" w:hAnsi="Times New Roman"/>
                      <w:sz w:val="24"/>
                      <w:szCs w:val="24"/>
                    </w:rPr>
                  </w:pPr>
                  <w:r w:rsidRPr="00794B7B">
                    <w:rPr>
                      <w:rFonts w:ascii="Times New Roman" w:hAnsi="Times New Roman"/>
                      <w:sz w:val="24"/>
                      <w:szCs w:val="24"/>
                    </w:rPr>
                    <w:t xml:space="preserve">Teknologjia </w:t>
                  </w:r>
                  <w:r w:rsidR="00E87CC4" w:rsidRPr="00794B7B">
                    <w:rPr>
                      <w:rFonts w:ascii="Times New Roman" w:hAnsi="Times New Roman"/>
                      <w:sz w:val="24"/>
                      <w:szCs w:val="24"/>
                    </w:rPr>
                    <w:t>e larte e perdorur, per</w:t>
                  </w:r>
                  <w:r w:rsidRPr="00794B7B">
                    <w:rPr>
                      <w:rFonts w:ascii="Times New Roman" w:hAnsi="Times New Roman"/>
                      <w:sz w:val="24"/>
                      <w:szCs w:val="24"/>
                    </w:rPr>
                    <w:t xml:space="preserve"> ndertimin e cdo elementi te ketij konvikti </w:t>
                  </w:r>
                </w:p>
              </w:tc>
              <w:tc>
                <w:tcPr>
                  <w:tcW w:w="3120" w:type="dxa"/>
                </w:tcPr>
                <w:p w:rsidR="00F10F3C" w:rsidRPr="00794B7B" w:rsidRDefault="00E87CC4" w:rsidP="00BB5D8B">
                  <w:pPr>
                    <w:spacing w:after="0" w:line="240" w:lineRule="auto"/>
                    <w:jc w:val="both"/>
                    <w:rPr>
                      <w:rFonts w:ascii="Times New Roman" w:hAnsi="Times New Roman"/>
                      <w:sz w:val="24"/>
                      <w:szCs w:val="24"/>
                    </w:rPr>
                  </w:pPr>
                  <w:r w:rsidRPr="00794B7B">
                    <w:rPr>
                      <w:rFonts w:ascii="Times New Roman" w:hAnsi="Times New Roman"/>
                      <w:sz w:val="24"/>
                      <w:szCs w:val="24"/>
                    </w:rPr>
                    <w:t>Zyra e Shërbimeve Publike</w:t>
                  </w:r>
                </w:p>
              </w:tc>
            </w:tr>
            <w:tr w:rsidR="00F10F3C" w:rsidRPr="00794B7B" w:rsidTr="00BB5D8B">
              <w:trPr>
                <w:trHeight w:val="548"/>
              </w:trPr>
              <w:tc>
                <w:tcPr>
                  <w:tcW w:w="3120" w:type="dxa"/>
                </w:tcPr>
                <w:p w:rsidR="00F10F3C" w:rsidRPr="00794B7B" w:rsidRDefault="00F10F3C" w:rsidP="00BB5D8B">
                  <w:pPr>
                    <w:jc w:val="both"/>
                    <w:rPr>
                      <w:rFonts w:ascii="Times New Roman" w:hAnsi="Times New Roman"/>
                      <w:sz w:val="24"/>
                      <w:szCs w:val="24"/>
                    </w:rPr>
                  </w:pPr>
                  <w:r w:rsidRPr="00794B7B">
                    <w:rPr>
                      <w:rFonts w:ascii="Times New Roman" w:hAnsi="Times New Roman"/>
                      <w:sz w:val="24"/>
                      <w:szCs w:val="24"/>
                    </w:rPr>
                    <w:t xml:space="preserve">Rezultati 3 </w:t>
                  </w:r>
                </w:p>
                <w:p w:rsidR="00E87CC4" w:rsidRPr="00794B7B" w:rsidRDefault="00E87CC4" w:rsidP="00BB5D8B">
                  <w:pPr>
                    <w:jc w:val="both"/>
                    <w:rPr>
                      <w:rFonts w:ascii="Times New Roman" w:hAnsi="Times New Roman"/>
                      <w:sz w:val="24"/>
                      <w:szCs w:val="24"/>
                    </w:rPr>
                  </w:pPr>
                  <w:r w:rsidRPr="00794B7B">
                    <w:rPr>
                      <w:rFonts w:ascii="Times New Roman" w:hAnsi="Times New Roman"/>
                      <w:sz w:val="24"/>
                      <w:szCs w:val="24"/>
                    </w:rPr>
                    <w:t>Sherbim cilesor dhe me kosto te ulet</w:t>
                  </w:r>
                </w:p>
              </w:tc>
              <w:tc>
                <w:tcPr>
                  <w:tcW w:w="3120" w:type="dxa"/>
                </w:tcPr>
                <w:p w:rsidR="00F10F3C" w:rsidRPr="00794B7B" w:rsidRDefault="00E87CC4" w:rsidP="00BB5D8B">
                  <w:pPr>
                    <w:spacing w:after="0" w:line="240" w:lineRule="auto"/>
                    <w:jc w:val="both"/>
                    <w:rPr>
                      <w:rFonts w:ascii="Times New Roman" w:hAnsi="Times New Roman"/>
                      <w:sz w:val="24"/>
                      <w:szCs w:val="24"/>
                    </w:rPr>
                  </w:pPr>
                  <w:r w:rsidRPr="00794B7B">
                    <w:rPr>
                      <w:rFonts w:ascii="Times New Roman" w:hAnsi="Times New Roman"/>
                      <w:sz w:val="24"/>
                      <w:szCs w:val="24"/>
                    </w:rPr>
                    <w:t xml:space="preserve">Ofrim i sherbimit per x nxenes </w:t>
                  </w:r>
                  <w:r w:rsidR="00EB4565" w:rsidRPr="00794B7B">
                    <w:rPr>
                      <w:rFonts w:ascii="Times New Roman" w:hAnsi="Times New Roman"/>
                      <w:sz w:val="24"/>
                      <w:szCs w:val="24"/>
                    </w:rPr>
                    <w:t xml:space="preserve">. 70% e shpenzimeve operative dhe të mirëmbajtjes të mbuluara nga </w:t>
                  </w:r>
                  <w:r w:rsidR="00A67E55" w:rsidRPr="00794B7B">
                    <w:rPr>
                      <w:rFonts w:ascii="Times New Roman" w:hAnsi="Times New Roman"/>
                      <w:sz w:val="24"/>
                      <w:szCs w:val="24"/>
                    </w:rPr>
                    <w:t>pagimi i tarifes nga nxenesit</w:t>
                  </w:r>
                  <w:r w:rsidR="00EB4565" w:rsidRPr="00794B7B">
                    <w:rPr>
                      <w:rFonts w:ascii="Times New Roman" w:hAnsi="Times New Roman"/>
                      <w:sz w:val="24"/>
                      <w:szCs w:val="24"/>
                    </w:rPr>
                    <w:t xml:space="preserve"> </w:t>
                  </w:r>
                </w:p>
              </w:tc>
              <w:tc>
                <w:tcPr>
                  <w:tcW w:w="3120" w:type="dxa"/>
                </w:tcPr>
                <w:p w:rsidR="00F10F3C" w:rsidRPr="00794B7B" w:rsidRDefault="00A67E55" w:rsidP="00BB5D8B">
                  <w:pPr>
                    <w:spacing w:after="0" w:line="240" w:lineRule="auto"/>
                    <w:jc w:val="both"/>
                    <w:rPr>
                      <w:rFonts w:ascii="Times New Roman" w:hAnsi="Times New Roman"/>
                      <w:sz w:val="24"/>
                      <w:szCs w:val="24"/>
                    </w:rPr>
                  </w:pPr>
                  <w:r w:rsidRPr="00794B7B">
                    <w:rPr>
                      <w:rFonts w:ascii="Times New Roman" w:hAnsi="Times New Roman"/>
                      <w:sz w:val="24"/>
                      <w:szCs w:val="24"/>
                    </w:rPr>
                    <w:t xml:space="preserve">Te </w:t>
                  </w:r>
                  <w:r w:rsidR="002A2770" w:rsidRPr="00794B7B">
                    <w:rPr>
                      <w:rFonts w:ascii="Times New Roman" w:hAnsi="Times New Roman"/>
                      <w:sz w:val="24"/>
                      <w:szCs w:val="24"/>
                    </w:rPr>
                    <w:t>ardhurat e siguruara ne administraten e konviktit.</w:t>
                  </w:r>
                </w:p>
              </w:tc>
            </w:tr>
          </w:tbl>
          <w:p w:rsidR="00F10F3C" w:rsidRPr="00794B7B" w:rsidRDefault="00F10F3C" w:rsidP="00BB5D8B">
            <w:pPr>
              <w:spacing w:after="0" w:line="240" w:lineRule="auto"/>
              <w:jc w:val="both"/>
              <w:rPr>
                <w:rFonts w:ascii="Times New Roman" w:hAnsi="Times New Roman"/>
                <w:sz w:val="24"/>
                <w:szCs w:val="24"/>
              </w:rPr>
            </w:pPr>
          </w:p>
        </w:tc>
      </w:tr>
    </w:tbl>
    <w:p w:rsidR="00000000" w:rsidRDefault="00E655A8">
      <w:pPr>
        <w:pStyle w:val="ListParagraph"/>
        <w:rPr>
          <w:rFonts w:ascii="Times New Roman" w:hAnsi="Times New Roman"/>
          <w:b/>
          <w:sz w:val="24"/>
          <w:szCs w:val="24"/>
        </w:rPr>
      </w:pPr>
    </w:p>
    <w:p w:rsidR="00F10F3C" w:rsidRPr="00794B7B" w:rsidRDefault="00F10F3C" w:rsidP="00F10F3C">
      <w:pPr>
        <w:pStyle w:val="ListParagraph"/>
        <w:numPr>
          <w:ilvl w:val="0"/>
          <w:numId w:val="1"/>
        </w:numPr>
        <w:rPr>
          <w:rFonts w:ascii="Times New Roman" w:hAnsi="Times New Roman"/>
          <w:b/>
          <w:sz w:val="24"/>
          <w:szCs w:val="24"/>
        </w:rPr>
      </w:pPr>
      <w:r w:rsidRPr="00794B7B">
        <w:rPr>
          <w:rFonts w:ascii="Times New Roman" w:hAnsi="Times New Roman"/>
          <w:b/>
          <w:sz w:val="24"/>
          <w:szCs w:val="24"/>
        </w:rPr>
        <w:t xml:space="preserve">Aktivitetet e projektit dhe mënyra e zbatimit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F10F3C" w:rsidRPr="00794B7B" w:rsidTr="00BB5D8B">
        <w:trPr>
          <w:trHeight w:val="1547"/>
        </w:trPr>
        <w:tc>
          <w:tcPr>
            <w:tcW w:w="9576" w:type="dxa"/>
          </w:tcPr>
          <w:p w:rsidR="00F10F3C" w:rsidRPr="00794B7B" w:rsidRDefault="00F10F3C" w:rsidP="00BB5D8B">
            <w:pPr>
              <w:spacing w:after="0" w:line="240" w:lineRule="auto"/>
              <w:rPr>
                <w:rFonts w:ascii="Times New Roman" w:hAnsi="Times New Roman"/>
                <w:sz w:val="24"/>
                <w:szCs w:val="24"/>
              </w:rPr>
            </w:pPr>
          </w:p>
          <w:p w:rsidR="00F10F3C" w:rsidRPr="00794B7B" w:rsidRDefault="00F10F3C" w:rsidP="00BB5D8B">
            <w:pPr>
              <w:spacing w:after="0" w:line="240" w:lineRule="auto"/>
              <w:rPr>
                <w:rFonts w:ascii="Times New Roman" w:hAnsi="Times New Roman"/>
                <w:b/>
                <w:sz w:val="24"/>
                <w:szCs w:val="24"/>
              </w:rPr>
            </w:pPr>
            <w:r w:rsidRPr="00794B7B">
              <w:rPr>
                <w:rFonts w:ascii="Times New Roman" w:hAnsi="Times New Roman"/>
                <w:b/>
                <w:sz w:val="24"/>
                <w:szCs w:val="24"/>
              </w:rPr>
              <w:t xml:space="preserve">SHËMBULL: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5"/>
              <w:gridCol w:w="990"/>
              <w:gridCol w:w="556"/>
              <w:gridCol w:w="646"/>
              <w:gridCol w:w="646"/>
              <w:gridCol w:w="646"/>
              <w:gridCol w:w="646"/>
              <w:gridCol w:w="2260"/>
            </w:tblGrid>
            <w:tr w:rsidR="00F10F3C" w:rsidRPr="00794B7B" w:rsidTr="00BB5D8B">
              <w:tc>
                <w:tcPr>
                  <w:tcW w:w="2785"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Aktiviteti</w:t>
                  </w:r>
                </w:p>
              </w:tc>
              <w:tc>
                <w:tcPr>
                  <w:tcW w:w="990"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Muaji 1</w:t>
                  </w:r>
                </w:p>
              </w:tc>
              <w:tc>
                <w:tcPr>
                  <w:tcW w:w="556"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2</w:t>
                  </w:r>
                </w:p>
              </w:tc>
              <w:tc>
                <w:tcPr>
                  <w:tcW w:w="646"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3</w:t>
                  </w:r>
                </w:p>
              </w:tc>
              <w:tc>
                <w:tcPr>
                  <w:tcW w:w="646"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4</w:t>
                  </w:r>
                </w:p>
              </w:tc>
              <w:tc>
                <w:tcPr>
                  <w:tcW w:w="646"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5</w:t>
                  </w:r>
                </w:p>
              </w:tc>
              <w:tc>
                <w:tcPr>
                  <w:tcW w:w="646"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6</w:t>
                  </w:r>
                </w:p>
              </w:tc>
              <w:tc>
                <w:tcPr>
                  <w:tcW w:w="2260"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 xml:space="preserve">Organi Përgjegjës </w:t>
                  </w:r>
                </w:p>
              </w:tc>
            </w:tr>
            <w:tr w:rsidR="00F10F3C" w:rsidRPr="00794B7B" w:rsidTr="00BB5D8B">
              <w:tc>
                <w:tcPr>
                  <w:tcW w:w="2785"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Prokurimi</w:t>
                  </w:r>
                </w:p>
              </w:tc>
              <w:tc>
                <w:tcPr>
                  <w:tcW w:w="990" w:type="dxa"/>
                  <w:shd w:val="clear" w:color="auto" w:fill="A6A6A6"/>
                </w:tcPr>
                <w:p w:rsidR="00F10F3C" w:rsidRPr="00794B7B" w:rsidRDefault="00F10F3C" w:rsidP="00BB5D8B">
                  <w:pPr>
                    <w:spacing w:after="0" w:line="240" w:lineRule="auto"/>
                    <w:rPr>
                      <w:rFonts w:ascii="Times New Roman" w:hAnsi="Times New Roman"/>
                      <w:sz w:val="24"/>
                      <w:szCs w:val="24"/>
                    </w:rPr>
                  </w:pPr>
                </w:p>
              </w:tc>
              <w:tc>
                <w:tcPr>
                  <w:tcW w:w="55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2260"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 xml:space="preserve">NJQV-ja, Komisioni i Tenderit </w:t>
                  </w:r>
                </w:p>
              </w:tc>
            </w:tr>
            <w:tr w:rsidR="00F10F3C" w:rsidRPr="00794B7B" w:rsidTr="00BB5D8B">
              <w:tc>
                <w:tcPr>
                  <w:tcW w:w="2785"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Kontraktimi i punëve</w:t>
                  </w:r>
                </w:p>
              </w:tc>
              <w:tc>
                <w:tcPr>
                  <w:tcW w:w="990" w:type="dxa"/>
                  <w:shd w:val="clear" w:color="auto" w:fill="FFFFFF"/>
                </w:tcPr>
                <w:p w:rsidR="00F10F3C" w:rsidRPr="00794B7B" w:rsidRDefault="00F10F3C" w:rsidP="00BB5D8B">
                  <w:pPr>
                    <w:spacing w:after="0" w:line="240" w:lineRule="auto"/>
                    <w:rPr>
                      <w:rFonts w:ascii="Times New Roman" w:hAnsi="Times New Roman"/>
                      <w:sz w:val="24"/>
                      <w:szCs w:val="24"/>
                    </w:rPr>
                  </w:pPr>
                </w:p>
              </w:tc>
              <w:tc>
                <w:tcPr>
                  <w:tcW w:w="556" w:type="dxa"/>
                  <w:shd w:val="clear" w:color="auto" w:fill="7F7F7F"/>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2260"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 xml:space="preserve">NJQV-ja, Kryetari </w:t>
                  </w:r>
                </w:p>
              </w:tc>
            </w:tr>
            <w:tr w:rsidR="00F10F3C" w:rsidRPr="00794B7B" w:rsidTr="00BB5D8B">
              <w:tc>
                <w:tcPr>
                  <w:tcW w:w="2785"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Zbatimi i punëve</w:t>
                  </w:r>
                </w:p>
              </w:tc>
              <w:tc>
                <w:tcPr>
                  <w:tcW w:w="990" w:type="dxa"/>
                </w:tcPr>
                <w:p w:rsidR="00F10F3C" w:rsidRPr="00794B7B" w:rsidRDefault="00F10F3C" w:rsidP="00BB5D8B">
                  <w:pPr>
                    <w:spacing w:after="0" w:line="240" w:lineRule="auto"/>
                    <w:rPr>
                      <w:rFonts w:ascii="Times New Roman" w:hAnsi="Times New Roman"/>
                      <w:sz w:val="24"/>
                      <w:szCs w:val="24"/>
                    </w:rPr>
                  </w:pPr>
                </w:p>
              </w:tc>
              <w:tc>
                <w:tcPr>
                  <w:tcW w:w="556" w:type="dxa"/>
                </w:tcPr>
                <w:p w:rsidR="00F10F3C" w:rsidRPr="00794B7B" w:rsidRDefault="00F10F3C" w:rsidP="00BB5D8B">
                  <w:pPr>
                    <w:spacing w:after="0" w:line="240" w:lineRule="auto"/>
                    <w:rPr>
                      <w:rFonts w:ascii="Times New Roman" w:hAnsi="Times New Roman"/>
                      <w:sz w:val="24"/>
                      <w:szCs w:val="24"/>
                    </w:rPr>
                  </w:pPr>
                </w:p>
              </w:tc>
              <w:tc>
                <w:tcPr>
                  <w:tcW w:w="646" w:type="dxa"/>
                  <w:shd w:val="clear" w:color="auto" w:fill="7F7F7F"/>
                </w:tcPr>
                <w:p w:rsidR="00F10F3C" w:rsidRPr="00794B7B" w:rsidRDefault="00F10F3C" w:rsidP="00BB5D8B">
                  <w:pPr>
                    <w:spacing w:after="0" w:line="240" w:lineRule="auto"/>
                    <w:rPr>
                      <w:rFonts w:ascii="Times New Roman" w:hAnsi="Times New Roman"/>
                      <w:sz w:val="24"/>
                      <w:szCs w:val="24"/>
                    </w:rPr>
                  </w:pPr>
                </w:p>
              </w:tc>
              <w:tc>
                <w:tcPr>
                  <w:tcW w:w="646" w:type="dxa"/>
                  <w:shd w:val="clear" w:color="auto" w:fill="7F7F7F"/>
                </w:tcPr>
                <w:p w:rsidR="00F10F3C" w:rsidRPr="00794B7B" w:rsidRDefault="00F10F3C" w:rsidP="00BB5D8B">
                  <w:pPr>
                    <w:spacing w:after="0" w:line="240" w:lineRule="auto"/>
                    <w:rPr>
                      <w:rFonts w:ascii="Times New Roman" w:hAnsi="Times New Roman"/>
                      <w:sz w:val="24"/>
                      <w:szCs w:val="24"/>
                    </w:rPr>
                  </w:pPr>
                </w:p>
              </w:tc>
              <w:tc>
                <w:tcPr>
                  <w:tcW w:w="646" w:type="dxa"/>
                  <w:shd w:val="clear" w:color="auto" w:fill="7F7F7F"/>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2260"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 xml:space="preserve">Kontraktuesi, supervizori </w:t>
                  </w:r>
                </w:p>
              </w:tc>
            </w:tr>
            <w:tr w:rsidR="00F10F3C" w:rsidRPr="00794B7B" w:rsidTr="00BB5D8B">
              <w:tc>
                <w:tcPr>
                  <w:tcW w:w="2785"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 xml:space="preserve">Dorëzimi </w:t>
                  </w:r>
                </w:p>
              </w:tc>
              <w:tc>
                <w:tcPr>
                  <w:tcW w:w="990" w:type="dxa"/>
                </w:tcPr>
                <w:p w:rsidR="00F10F3C" w:rsidRPr="00794B7B" w:rsidRDefault="00F10F3C" w:rsidP="00BB5D8B">
                  <w:pPr>
                    <w:spacing w:after="0" w:line="240" w:lineRule="auto"/>
                    <w:rPr>
                      <w:rFonts w:ascii="Times New Roman" w:hAnsi="Times New Roman"/>
                      <w:sz w:val="24"/>
                      <w:szCs w:val="24"/>
                    </w:rPr>
                  </w:pPr>
                </w:p>
              </w:tc>
              <w:tc>
                <w:tcPr>
                  <w:tcW w:w="55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shd w:val="clear" w:color="auto" w:fill="7F7F7F"/>
                </w:tcPr>
                <w:p w:rsidR="00F10F3C" w:rsidRPr="00794B7B" w:rsidRDefault="00F10F3C" w:rsidP="00BB5D8B">
                  <w:pPr>
                    <w:spacing w:after="0" w:line="240" w:lineRule="auto"/>
                    <w:rPr>
                      <w:rFonts w:ascii="Times New Roman" w:hAnsi="Times New Roman"/>
                      <w:sz w:val="24"/>
                      <w:szCs w:val="24"/>
                    </w:rPr>
                  </w:pPr>
                </w:p>
              </w:tc>
              <w:tc>
                <w:tcPr>
                  <w:tcW w:w="2260"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 xml:space="preserve">NJQV-ja, kontraktuesi, supervizori </w:t>
                  </w:r>
                </w:p>
              </w:tc>
            </w:tr>
            <w:tr w:rsidR="00F10F3C" w:rsidRPr="00794B7B" w:rsidTr="00BB5D8B">
              <w:tc>
                <w:tcPr>
                  <w:tcW w:w="2785" w:type="dxa"/>
                </w:tcPr>
                <w:p w:rsidR="00F10F3C" w:rsidRPr="00794B7B" w:rsidRDefault="00F10F3C" w:rsidP="00BB5D8B">
                  <w:pPr>
                    <w:spacing w:after="0" w:line="240" w:lineRule="auto"/>
                    <w:rPr>
                      <w:rFonts w:ascii="Times New Roman" w:hAnsi="Times New Roman"/>
                      <w:sz w:val="24"/>
                      <w:szCs w:val="24"/>
                    </w:rPr>
                  </w:pPr>
                  <w:r w:rsidRPr="00794B7B">
                    <w:rPr>
                      <w:rFonts w:ascii="Times New Roman" w:hAnsi="Times New Roman"/>
                      <w:sz w:val="24"/>
                      <w:szCs w:val="24"/>
                    </w:rPr>
                    <w:t xml:space="preserve">Etj.  </w:t>
                  </w:r>
                </w:p>
              </w:tc>
              <w:tc>
                <w:tcPr>
                  <w:tcW w:w="990" w:type="dxa"/>
                </w:tcPr>
                <w:p w:rsidR="00F10F3C" w:rsidRPr="00794B7B" w:rsidRDefault="00F10F3C" w:rsidP="00BB5D8B">
                  <w:pPr>
                    <w:spacing w:after="0" w:line="240" w:lineRule="auto"/>
                    <w:rPr>
                      <w:rFonts w:ascii="Times New Roman" w:hAnsi="Times New Roman"/>
                      <w:sz w:val="24"/>
                      <w:szCs w:val="24"/>
                    </w:rPr>
                  </w:pPr>
                </w:p>
              </w:tc>
              <w:tc>
                <w:tcPr>
                  <w:tcW w:w="55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tcPr>
                <w:p w:rsidR="00F10F3C" w:rsidRPr="00794B7B" w:rsidRDefault="00F10F3C" w:rsidP="00BB5D8B">
                  <w:pPr>
                    <w:spacing w:after="0" w:line="240" w:lineRule="auto"/>
                    <w:rPr>
                      <w:rFonts w:ascii="Times New Roman" w:hAnsi="Times New Roman"/>
                      <w:sz w:val="24"/>
                      <w:szCs w:val="24"/>
                    </w:rPr>
                  </w:pPr>
                </w:p>
              </w:tc>
              <w:tc>
                <w:tcPr>
                  <w:tcW w:w="646" w:type="dxa"/>
                  <w:shd w:val="clear" w:color="auto" w:fill="7F7F7F"/>
                </w:tcPr>
                <w:p w:rsidR="00F10F3C" w:rsidRPr="00794B7B" w:rsidRDefault="00F10F3C" w:rsidP="00BB5D8B">
                  <w:pPr>
                    <w:spacing w:after="0" w:line="240" w:lineRule="auto"/>
                    <w:rPr>
                      <w:rFonts w:ascii="Times New Roman" w:hAnsi="Times New Roman"/>
                      <w:sz w:val="24"/>
                      <w:szCs w:val="24"/>
                    </w:rPr>
                  </w:pPr>
                </w:p>
              </w:tc>
              <w:tc>
                <w:tcPr>
                  <w:tcW w:w="2260" w:type="dxa"/>
                </w:tcPr>
                <w:p w:rsidR="00F10F3C" w:rsidRPr="00794B7B" w:rsidRDefault="00F10F3C" w:rsidP="00BB5D8B">
                  <w:pPr>
                    <w:spacing w:after="0" w:line="240" w:lineRule="auto"/>
                    <w:rPr>
                      <w:rFonts w:ascii="Times New Roman" w:hAnsi="Times New Roman"/>
                      <w:sz w:val="24"/>
                      <w:szCs w:val="24"/>
                    </w:rPr>
                  </w:pPr>
                </w:p>
              </w:tc>
            </w:tr>
          </w:tbl>
          <w:p w:rsidR="00F10F3C" w:rsidRPr="00794B7B" w:rsidRDefault="00F10F3C" w:rsidP="00BB5D8B">
            <w:pPr>
              <w:spacing w:after="0" w:line="240" w:lineRule="auto"/>
              <w:rPr>
                <w:rFonts w:ascii="Times New Roman" w:hAnsi="Times New Roman"/>
                <w:sz w:val="24"/>
                <w:szCs w:val="24"/>
              </w:rPr>
            </w:pPr>
          </w:p>
        </w:tc>
      </w:tr>
    </w:tbl>
    <w:p w:rsidR="00F10F3C" w:rsidRPr="00794B7B" w:rsidRDefault="00F10F3C" w:rsidP="00F10F3C">
      <w:pPr>
        <w:rPr>
          <w:rFonts w:ascii="Times New Roman" w:hAnsi="Times New Roman"/>
          <w:i/>
          <w:sz w:val="24"/>
          <w:szCs w:val="24"/>
        </w:rPr>
      </w:pPr>
    </w:p>
    <w:p w:rsidR="00F10F3C" w:rsidRPr="00794B7B" w:rsidRDefault="00F10F3C" w:rsidP="00F10F3C">
      <w:pPr>
        <w:pStyle w:val="ListParagraph"/>
        <w:numPr>
          <w:ilvl w:val="0"/>
          <w:numId w:val="1"/>
        </w:numPr>
        <w:rPr>
          <w:rFonts w:ascii="Times New Roman" w:hAnsi="Times New Roman"/>
          <w:b/>
          <w:sz w:val="24"/>
          <w:szCs w:val="24"/>
        </w:rPr>
      </w:pPr>
      <w:r w:rsidRPr="00794B7B">
        <w:rPr>
          <w:rFonts w:ascii="Times New Roman" w:hAnsi="Times New Roman"/>
          <w:b/>
          <w:sz w:val="24"/>
          <w:szCs w:val="24"/>
        </w:rPr>
        <w:t xml:space="preserve">Organizimi i procesit të prokurimit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794B7B" w:rsidTr="00BB5D8B">
        <w:trPr>
          <w:trHeight w:val="1187"/>
        </w:trPr>
        <w:tc>
          <w:tcPr>
            <w:tcW w:w="9576" w:type="dxa"/>
          </w:tcPr>
          <w:p w:rsidR="00247A2B" w:rsidRPr="00794B7B" w:rsidRDefault="00247A2B" w:rsidP="00247A2B">
            <w:pPr>
              <w:spacing w:after="0" w:line="240" w:lineRule="auto"/>
              <w:rPr>
                <w:rFonts w:ascii="Times New Roman" w:hAnsi="Times New Roman"/>
                <w:sz w:val="24"/>
                <w:szCs w:val="24"/>
              </w:rPr>
            </w:pPr>
            <w:r w:rsidRPr="00794B7B">
              <w:rPr>
                <w:rFonts w:ascii="Times New Roman" w:hAnsi="Times New Roman"/>
                <w:sz w:val="24"/>
                <w:szCs w:val="24"/>
              </w:rPr>
              <w:t>Organizimi i procesit të prokurimit kërkon përgatitjen e dokumentacionit përkatës të vlefshëm për këtë objekt. Për të realizuar me sukses projektin janë ndjekur hapat si më poshtë:</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Përcaktimi zonës për ndërhyrjen e parashikuar dhe verifikimi të dhënave në terren</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 xml:space="preserve">Hartimi projektit për investimin e parashikuar nga zyra e urbanistikës / studio e licencuar </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Evidentimi zërave të punimeve dhe volumeve për çdo zë</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Hartimi i preventivit të objektit të investimit dhe vlerësimi i vlerës totale të investimit</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Përcaktimi i fondit limit për investimin e parashikuar</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Gjetja dhe sigurimi burimit të financimit</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 xml:space="preserve">Nxjerrja e urdhrit të brendshëm të kryetarit të Komunës për komisionin e tenderimit </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Publikimi në regjistrin e prokurimeve (Agjencia e Prokurimeve Publike/APP) për llojin e investimit dhe mënyrën e prokurimit</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Sigurimi i ofertës nga secili operator ekonomik pjesëmarrës në tender</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Tenderimi</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Shpallja e fituesit paraprak</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 xml:space="preserve">Shpallja e fituesit dhe </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 xml:space="preserve">Lidhja e Kontratës me fituesit </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Zbatimi kontratës dhe zbatimi projektit</w:t>
            </w:r>
          </w:p>
          <w:p w:rsidR="00247A2B" w:rsidRPr="00794B7B" w:rsidRDefault="00247A2B" w:rsidP="00247A2B">
            <w:pPr>
              <w:pStyle w:val="ListParagraph"/>
              <w:numPr>
                <w:ilvl w:val="0"/>
                <w:numId w:val="4"/>
              </w:numPr>
              <w:spacing w:after="0" w:line="240" w:lineRule="auto"/>
              <w:rPr>
                <w:rFonts w:ascii="Times New Roman" w:hAnsi="Times New Roman"/>
                <w:sz w:val="24"/>
                <w:szCs w:val="24"/>
              </w:rPr>
            </w:pPr>
            <w:r w:rsidRPr="00794B7B">
              <w:rPr>
                <w:rFonts w:ascii="Times New Roman" w:hAnsi="Times New Roman"/>
                <w:sz w:val="24"/>
                <w:szCs w:val="24"/>
              </w:rPr>
              <w:t>Supervizim, Kolaudim</w:t>
            </w:r>
          </w:p>
          <w:p w:rsidR="00247A2B" w:rsidRPr="00794B7B" w:rsidRDefault="00247A2B" w:rsidP="00247A2B">
            <w:pPr>
              <w:pStyle w:val="ListParagraph"/>
              <w:numPr>
                <w:ilvl w:val="0"/>
                <w:numId w:val="4"/>
              </w:numPr>
              <w:spacing w:after="0" w:line="240" w:lineRule="auto"/>
              <w:rPr>
                <w:rFonts w:ascii="Times New Roman" w:hAnsi="Times New Roman"/>
                <w:b/>
                <w:sz w:val="24"/>
                <w:szCs w:val="24"/>
              </w:rPr>
            </w:pPr>
            <w:r w:rsidRPr="00794B7B">
              <w:rPr>
                <w:rFonts w:ascii="Times New Roman" w:hAnsi="Times New Roman"/>
                <w:sz w:val="24"/>
                <w:szCs w:val="24"/>
              </w:rPr>
              <w:t>Marrja në dorëzim</w:t>
            </w:r>
          </w:p>
          <w:p w:rsidR="00F10F3C" w:rsidRPr="00794B7B" w:rsidRDefault="00F10F3C" w:rsidP="00BB5D8B">
            <w:pPr>
              <w:spacing w:after="0" w:line="240" w:lineRule="auto"/>
              <w:rPr>
                <w:rFonts w:ascii="Times New Roman" w:hAnsi="Times New Roman"/>
                <w:b/>
                <w:sz w:val="24"/>
                <w:szCs w:val="24"/>
              </w:rPr>
            </w:pPr>
          </w:p>
        </w:tc>
      </w:tr>
    </w:tbl>
    <w:p w:rsidR="00F10F3C" w:rsidRPr="00794B7B" w:rsidRDefault="00F10F3C" w:rsidP="00F10F3C">
      <w:pPr>
        <w:rPr>
          <w:rFonts w:ascii="Times New Roman" w:hAnsi="Times New Roman"/>
          <w:b/>
          <w:sz w:val="24"/>
          <w:szCs w:val="24"/>
        </w:rPr>
      </w:pPr>
    </w:p>
    <w:p w:rsidR="00F10F3C" w:rsidRPr="00794B7B" w:rsidRDefault="00F10F3C" w:rsidP="00F10F3C">
      <w:pPr>
        <w:pStyle w:val="ListParagraph"/>
        <w:numPr>
          <w:ilvl w:val="0"/>
          <w:numId w:val="1"/>
        </w:numPr>
        <w:rPr>
          <w:rFonts w:ascii="Times New Roman" w:hAnsi="Times New Roman"/>
          <w:b/>
          <w:sz w:val="24"/>
          <w:szCs w:val="24"/>
        </w:rPr>
      </w:pPr>
      <w:r w:rsidRPr="00794B7B">
        <w:rPr>
          <w:rFonts w:ascii="Times New Roman" w:hAnsi="Times New Roman"/>
          <w:b/>
          <w:sz w:val="24"/>
          <w:szCs w:val="24"/>
        </w:rPr>
        <w:t xml:space="preserve">Buxheti i Projektit  </w:t>
      </w:r>
      <w:r w:rsidRPr="00794B7B">
        <w:rPr>
          <w:rFonts w:ascii="Times New Roman" w:hAnsi="Times New Roman"/>
          <w:sz w:val="24"/>
          <w:szCs w:val="24"/>
        </w:rPr>
        <w:t>(maks. 2 fq.)</w:t>
      </w:r>
      <w:r w:rsidRPr="00794B7B">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794B7B" w:rsidTr="00BB5D8B">
        <w:trPr>
          <w:trHeight w:val="1853"/>
        </w:trPr>
        <w:tc>
          <w:tcPr>
            <w:tcW w:w="9576" w:type="dxa"/>
          </w:tcPr>
          <w:p w:rsidR="00F10F3C" w:rsidRPr="00794B7B" w:rsidRDefault="00F10F3C" w:rsidP="00BB5D8B">
            <w:pPr>
              <w:spacing w:after="0" w:line="240" w:lineRule="auto"/>
              <w:jc w:val="both"/>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6"/>
              <w:gridCol w:w="4114"/>
            </w:tblGrid>
            <w:tr w:rsidR="00F10F3C" w:rsidRPr="00794B7B" w:rsidTr="00BB5D8B">
              <w:trPr>
                <w:trHeight w:val="440"/>
              </w:trPr>
              <w:tc>
                <w:tcPr>
                  <w:tcW w:w="4492" w:type="dxa"/>
                </w:tcPr>
                <w:p w:rsidR="00F10F3C" w:rsidRPr="00794B7B" w:rsidRDefault="00F10F3C" w:rsidP="00BB5D8B">
                  <w:pPr>
                    <w:spacing w:after="0" w:line="240" w:lineRule="auto"/>
                    <w:jc w:val="both"/>
                    <w:rPr>
                      <w:rFonts w:ascii="Times New Roman" w:hAnsi="Times New Roman"/>
                      <w:i/>
                      <w:sz w:val="24"/>
                      <w:szCs w:val="24"/>
                    </w:rPr>
                  </w:pPr>
                  <w:r w:rsidRPr="00794B7B">
                    <w:rPr>
                      <w:rFonts w:ascii="Times New Roman" w:hAnsi="Times New Roman"/>
                      <w:i/>
                      <w:sz w:val="24"/>
                      <w:szCs w:val="24"/>
                    </w:rPr>
                    <w:t>Kosto Totale e Projektit</w:t>
                  </w:r>
                </w:p>
                <w:p w:rsidR="00F10F3C" w:rsidRPr="00794B7B" w:rsidRDefault="00F10F3C" w:rsidP="00BB5D8B">
                  <w:pPr>
                    <w:spacing w:after="0" w:line="240" w:lineRule="auto"/>
                    <w:jc w:val="both"/>
                    <w:rPr>
                      <w:rFonts w:ascii="Times New Roman" w:hAnsi="Times New Roman"/>
                      <w:i/>
                      <w:sz w:val="24"/>
                      <w:szCs w:val="24"/>
                    </w:rPr>
                  </w:pPr>
                </w:p>
              </w:tc>
              <w:tc>
                <w:tcPr>
                  <w:tcW w:w="4493" w:type="dxa"/>
                </w:tcPr>
                <w:p w:rsidR="00F10F3C" w:rsidRPr="00794B7B" w:rsidRDefault="00C53B3E" w:rsidP="00BB5D8B">
                  <w:pPr>
                    <w:spacing w:after="0" w:line="240" w:lineRule="auto"/>
                    <w:jc w:val="both"/>
                    <w:rPr>
                      <w:rFonts w:ascii="Times New Roman" w:hAnsi="Times New Roman"/>
                      <w:i/>
                      <w:sz w:val="24"/>
                      <w:szCs w:val="24"/>
                    </w:rPr>
                  </w:pPr>
                  <w:r>
                    <w:rPr>
                      <w:rFonts w:ascii="Times New Roman" w:hAnsi="Times New Roman"/>
                      <w:i/>
                      <w:sz w:val="24"/>
                      <w:szCs w:val="24"/>
                    </w:rPr>
                    <w:t>75 000 000</w:t>
                  </w:r>
                </w:p>
              </w:tc>
            </w:tr>
            <w:tr w:rsidR="00F10F3C" w:rsidRPr="00794B7B" w:rsidTr="00BB5D8B">
              <w:tc>
                <w:tcPr>
                  <w:tcW w:w="4492" w:type="dxa"/>
                </w:tcPr>
                <w:p w:rsidR="00F10F3C" w:rsidRPr="00794B7B" w:rsidRDefault="00F10F3C" w:rsidP="00BB5D8B">
                  <w:pPr>
                    <w:spacing w:after="0" w:line="240" w:lineRule="auto"/>
                    <w:jc w:val="both"/>
                    <w:rPr>
                      <w:rFonts w:ascii="Times New Roman" w:hAnsi="Times New Roman"/>
                      <w:i/>
                      <w:sz w:val="24"/>
                      <w:szCs w:val="24"/>
                    </w:rPr>
                  </w:pPr>
                  <w:r w:rsidRPr="00794B7B">
                    <w:rPr>
                      <w:rFonts w:ascii="Times New Roman" w:hAnsi="Times New Roman"/>
                      <w:i/>
                      <w:sz w:val="24"/>
                      <w:szCs w:val="24"/>
                    </w:rPr>
                    <w:t xml:space="preserve">Buxheti i Kërkuar nga Donatorët </w:t>
                  </w:r>
                </w:p>
                <w:p w:rsidR="00F10F3C" w:rsidRPr="00794B7B" w:rsidRDefault="00F10F3C" w:rsidP="00BB5D8B">
                  <w:pPr>
                    <w:spacing w:after="0" w:line="240" w:lineRule="auto"/>
                    <w:jc w:val="both"/>
                    <w:rPr>
                      <w:rFonts w:ascii="Times New Roman" w:hAnsi="Times New Roman"/>
                      <w:i/>
                      <w:sz w:val="24"/>
                      <w:szCs w:val="24"/>
                    </w:rPr>
                  </w:pPr>
                </w:p>
              </w:tc>
              <w:tc>
                <w:tcPr>
                  <w:tcW w:w="4493" w:type="dxa"/>
                </w:tcPr>
                <w:p w:rsidR="00F10F3C" w:rsidRPr="00794B7B" w:rsidRDefault="00C53B3E" w:rsidP="00BB5D8B">
                  <w:pPr>
                    <w:spacing w:after="0" w:line="240" w:lineRule="auto"/>
                    <w:jc w:val="both"/>
                    <w:rPr>
                      <w:rFonts w:ascii="Times New Roman" w:hAnsi="Times New Roman"/>
                      <w:i/>
                      <w:sz w:val="24"/>
                      <w:szCs w:val="24"/>
                    </w:rPr>
                  </w:pPr>
                  <w:r>
                    <w:rPr>
                      <w:rFonts w:ascii="Times New Roman" w:hAnsi="Times New Roman"/>
                      <w:i/>
                      <w:sz w:val="24"/>
                      <w:szCs w:val="24"/>
                    </w:rPr>
                    <w:t>0</w:t>
                  </w:r>
                </w:p>
              </w:tc>
            </w:tr>
            <w:tr w:rsidR="00F10F3C" w:rsidRPr="00794B7B" w:rsidTr="00BB5D8B">
              <w:tc>
                <w:tcPr>
                  <w:tcW w:w="4492" w:type="dxa"/>
                </w:tcPr>
                <w:p w:rsidR="00F10F3C" w:rsidRPr="00794B7B" w:rsidRDefault="00F10F3C" w:rsidP="00BB5D8B">
                  <w:pPr>
                    <w:spacing w:after="0" w:line="240" w:lineRule="auto"/>
                    <w:jc w:val="both"/>
                    <w:rPr>
                      <w:rFonts w:ascii="Times New Roman" w:hAnsi="Times New Roman"/>
                      <w:i/>
                      <w:sz w:val="24"/>
                      <w:szCs w:val="24"/>
                    </w:rPr>
                  </w:pPr>
                  <w:r w:rsidRPr="00794B7B">
                    <w:rPr>
                      <w:rFonts w:ascii="Times New Roman" w:hAnsi="Times New Roman"/>
                      <w:i/>
                      <w:sz w:val="24"/>
                      <w:szCs w:val="24"/>
                    </w:rPr>
                    <w:t xml:space="preserve">Kontributi i NJQV-së në Buxhet </w:t>
                  </w:r>
                </w:p>
                <w:p w:rsidR="00F10F3C" w:rsidRPr="00794B7B" w:rsidRDefault="00F10F3C" w:rsidP="00BB5D8B">
                  <w:pPr>
                    <w:spacing w:after="0" w:line="240" w:lineRule="auto"/>
                    <w:jc w:val="both"/>
                    <w:rPr>
                      <w:rFonts w:ascii="Times New Roman" w:hAnsi="Times New Roman"/>
                      <w:i/>
                      <w:sz w:val="24"/>
                      <w:szCs w:val="24"/>
                    </w:rPr>
                  </w:pPr>
                </w:p>
              </w:tc>
              <w:tc>
                <w:tcPr>
                  <w:tcW w:w="4493" w:type="dxa"/>
                </w:tcPr>
                <w:p w:rsidR="00F10F3C" w:rsidRPr="00794B7B" w:rsidRDefault="00C53B3E" w:rsidP="00BB5D8B">
                  <w:pPr>
                    <w:spacing w:after="0" w:line="240" w:lineRule="auto"/>
                    <w:jc w:val="both"/>
                    <w:rPr>
                      <w:rFonts w:ascii="Times New Roman" w:hAnsi="Times New Roman"/>
                      <w:i/>
                      <w:sz w:val="24"/>
                      <w:szCs w:val="24"/>
                    </w:rPr>
                  </w:pPr>
                  <w:r>
                    <w:rPr>
                      <w:rFonts w:ascii="Times New Roman" w:hAnsi="Times New Roman"/>
                      <w:i/>
                      <w:sz w:val="24"/>
                      <w:szCs w:val="24"/>
                    </w:rPr>
                    <w:t>0</w:t>
                  </w:r>
                </w:p>
              </w:tc>
            </w:tr>
          </w:tbl>
          <w:p w:rsidR="00F10F3C" w:rsidRPr="00794B7B" w:rsidRDefault="00F10F3C" w:rsidP="00BB5D8B">
            <w:pPr>
              <w:spacing w:after="0" w:line="240" w:lineRule="auto"/>
              <w:jc w:val="both"/>
              <w:rPr>
                <w:rFonts w:ascii="Times New Roman" w:hAnsi="Times New Roman"/>
                <w:i/>
                <w:sz w:val="24"/>
                <w:szCs w:val="24"/>
              </w:rPr>
            </w:pPr>
          </w:p>
        </w:tc>
      </w:tr>
    </w:tbl>
    <w:p w:rsidR="00F10F3C" w:rsidRPr="00794B7B" w:rsidRDefault="00F10F3C" w:rsidP="00F10F3C">
      <w:pPr>
        <w:rPr>
          <w:rFonts w:ascii="Times New Roman" w:hAnsi="Times New Roman"/>
          <w:sz w:val="24"/>
          <w:szCs w:val="24"/>
        </w:rPr>
      </w:pPr>
    </w:p>
    <w:p w:rsidR="00F10F3C" w:rsidRPr="00794B7B" w:rsidRDefault="00F10F3C" w:rsidP="00F10F3C">
      <w:pPr>
        <w:pStyle w:val="ListParagraph"/>
        <w:numPr>
          <w:ilvl w:val="0"/>
          <w:numId w:val="1"/>
        </w:numPr>
        <w:rPr>
          <w:rFonts w:ascii="Times New Roman" w:hAnsi="Times New Roman"/>
          <w:sz w:val="24"/>
          <w:szCs w:val="24"/>
        </w:rPr>
      </w:pPr>
      <w:r w:rsidRPr="00794B7B">
        <w:rPr>
          <w:rFonts w:ascii="Times New Roman" w:hAnsi="Times New Roman"/>
          <w:b/>
          <w:sz w:val="24"/>
          <w:szCs w:val="24"/>
        </w:rPr>
        <w:t xml:space="preserve">Parashiki i Rrezikut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794B7B" w:rsidTr="00BB5D8B">
        <w:trPr>
          <w:trHeight w:val="935"/>
        </w:trPr>
        <w:tc>
          <w:tcPr>
            <w:tcW w:w="9576" w:type="dxa"/>
          </w:tcPr>
          <w:p w:rsidR="00F10F3C" w:rsidRPr="00794B7B" w:rsidRDefault="00F10F3C" w:rsidP="00BB5D8B">
            <w:pPr>
              <w:spacing w:after="0" w:line="240" w:lineRule="auto"/>
              <w:jc w:val="both"/>
              <w:rPr>
                <w:rFonts w:ascii="Times New Roman" w:hAnsi="Times New Roman"/>
                <w:sz w:val="24"/>
                <w:szCs w:val="24"/>
              </w:rPr>
            </w:pPr>
            <w:r w:rsidRPr="00794B7B">
              <w:rPr>
                <w:rFonts w:ascii="Times New Roman" w:hAnsi="Times New Roman"/>
                <w:i/>
                <w:sz w:val="24"/>
                <w:szCs w:val="24"/>
              </w:rPr>
              <w:t xml:space="preserve"> </w:t>
            </w:r>
            <w:r w:rsidR="00D56402" w:rsidRPr="00794B7B">
              <w:rPr>
                <w:rFonts w:ascii="Times New Roman" w:hAnsi="Times New Roman"/>
                <w:sz w:val="24"/>
                <w:szCs w:val="24"/>
              </w:rPr>
              <w:t xml:space="preserve">Financimi i projekteve nga fondet konkurruese bëhet  përmes procedurave të konkurrimit. Përgatitja e projektit dhe dosjes për aplikim me të gjithë dokumentacionin e nevojshëm, argumentimi i mbështetjes së projektit në planin strategjik të zhvillimit rrit mundësinë për financim, por në një tjetër këndvështrim mungesa e financimit të tij nga fondi zhvillimit të rajoneve paraqet edhe rriskun më të lartë të mundshëm duke çuar në shtyrjen e tij në vitet që vijnë. Në aspektin manaxhues, menaxhimi projektit nga stafi i ndërmarrjes së shërbimeve kërkon akoma më shumë rritjen e kapacitetit manaxhues të ndërmarrjes nga stafi Komunës.  </w:t>
            </w:r>
          </w:p>
        </w:tc>
      </w:tr>
    </w:tbl>
    <w:p w:rsidR="00F10F3C" w:rsidRPr="00794B7B" w:rsidRDefault="00F10F3C" w:rsidP="00F10F3C">
      <w:pPr>
        <w:rPr>
          <w:rFonts w:ascii="Times New Roman" w:hAnsi="Times New Roman"/>
          <w:sz w:val="24"/>
          <w:szCs w:val="24"/>
        </w:rPr>
      </w:pPr>
    </w:p>
    <w:p w:rsidR="00F10F3C" w:rsidRPr="00794B7B" w:rsidRDefault="00F10F3C" w:rsidP="00F10F3C">
      <w:pPr>
        <w:pStyle w:val="ListParagraph"/>
        <w:numPr>
          <w:ilvl w:val="0"/>
          <w:numId w:val="1"/>
        </w:numPr>
        <w:rPr>
          <w:rFonts w:ascii="Times New Roman" w:hAnsi="Times New Roman"/>
          <w:b/>
          <w:sz w:val="24"/>
          <w:szCs w:val="24"/>
        </w:rPr>
      </w:pPr>
      <w:r w:rsidRPr="00794B7B">
        <w:rPr>
          <w:rFonts w:ascii="Times New Roman" w:hAnsi="Times New Roman"/>
          <w:b/>
          <w:sz w:val="24"/>
          <w:szCs w:val="24"/>
        </w:rPr>
        <w:t xml:space="preserve">Plani i Monitorimit dhe Vlerësimit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794B7B" w:rsidTr="00BB5D8B">
        <w:trPr>
          <w:trHeight w:val="1043"/>
        </w:trPr>
        <w:tc>
          <w:tcPr>
            <w:tcW w:w="9576" w:type="dxa"/>
          </w:tcPr>
          <w:p w:rsidR="00D56402" w:rsidRPr="00794B7B" w:rsidRDefault="00F10F3C" w:rsidP="00D56402">
            <w:pPr>
              <w:jc w:val="both"/>
              <w:rPr>
                <w:rFonts w:ascii="Times New Roman" w:hAnsi="Times New Roman"/>
                <w:sz w:val="24"/>
                <w:szCs w:val="24"/>
              </w:rPr>
            </w:pPr>
            <w:r w:rsidRPr="00794B7B">
              <w:rPr>
                <w:rFonts w:ascii="Times New Roman" w:hAnsi="Times New Roman"/>
                <w:sz w:val="24"/>
                <w:szCs w:val="24"/>
              </w:rPr>
              <w:t xml:space="preserve"> </w:t>
            </w:r>
            <w:r w:rsidR="00D56402" w:rsidRPr="00794B7B">
              <w:rPr>
                <w:rFonts w:ascii="Times New Roman" w:hAnsi="Times New Roman"/>
                <w:sz w:val="24"/>
                <w:szCs w:val="24"/>
              </w:rPr>
              <w:t>Do te realizohen vizita monitorimi nga perfaqesuesi i Komunes Bushat ne menyre qe te sigurohet qe aktivitetet do te realizohen sipas parashikimit. Instrumentet e verifikimit dhe vleresimit te aktiviteteve per te matur rezultatet jane si me poshte:</w:t>
            </w:r>
          </w:p>
          <w:p w:rsidR="00D56402" w:rsidRPr="00794B7B" w:rsidRDefault="00D56402" w:rsidP="00D56402">
            <w:pPr>
              <w:jc w:val="both"/>
              <w:rPr>
                <w:rFonts w:ascii="Times New Roman" w:hAnsi="Times New Roman"/>
                <w:sz w:val="24"/>
                <w:szCs w:val="24"/>
              </w:rPr>
            </w:pPr>
            <w:r w:rsidRPr="00794B7B">
              <w:rPr>
                <w:rFonts w:ascii="Times New Roman" w:hAnsi="Times New Roman"/>
                <w:sz w:val="24"/>
                <w:szCs w:val="24"/>
              </w:rPr>
              <w:t xml:space="preserve">               Ndertimi i konvikti</w:t>
            </w:r>
          </w:p>
          <w:p w:rsidR="00D56402" w:rsidRPr="00794B7B" w:rsidRDefault="00D56402" w:rsidP="00D56402">
            <w:pPr>
              <w:numPr>
                <w:ilvl w:val="0"/>
                <w:numId w:val="5"/>
              </w:numPr>
              <w:jc w:val="both"/>
              <w:rPr>
                <w:rFonts w:ascii="Times New Roman" w:hAnsi="Times New Roman"/>
                <w:sz w:val="24"/>
                <w:szCs w:val="24"/>
              </w:rPr>
            </w:pPr>
            <w:r w:rsidRPr="00794B7B">
              <w:rPr>
                <w:rFonts w:ascii="Times New Roman" w:hAnsi="Times New Roman"/>
                <w:sz w:val="24"/>
                <w:szCs w:val="24"/>
              </w:rPr>
              <w:t>Kontratat e lidhura me personat e grupit te punes;</w:t>
            </w:r>
          </w:p>
          <w:p w:rsidR="00D56402" w:rsidRPr="00794B7B" w:rsidRDefault="00D56402" w:rsidP="00D56402">
            <w:pPr>
              <w:numPr>
                <w:ilvl w:val="0"/>
                <w:numId w:val="5"/>
              </w:numPr>
              <w:jc w:val="both"/>
              <w:rPr>
                <w:rFonts w:ascii="Times New Roman" w:hAnsi="Times New Roman"/>
                <w:sz w:val="24"/>
                <w:szCs w:val="24"/>
              </w:rPr>
            </w:pPr>
            <w:r w:rsidRPr="00794B7B">
              <w:rPr>
                <w:rFonts w:ascii="Times New Roman" w:hAnsi="Times New Roman"/>
                <w:sz w:val="24"/>
                <w:szCs w:val="24"/>
              </w:rPr>
              <w:t>Plotesimi i pyetesoreve te vleresimit;</w:t>
            </w:r>
          </w:p>
          <w:p w:rsidR="00D56402" w:rsidRPr="00794B7B" w:rsidRDefault="00D56402" w:rsidP="00D56402">
            <w:pPr>
              <w:numPr>
                <w:ilvl w:val="0"/>
                <w:numId w:val="5"/>
              </w:numPr>
              <w:jc w:val="both"/>
              <w:rPr>
                <w:rFonts w:ascii="Times New Roman" w:hAnsi="Times New Roman"/>
                <w:sz w:val="24"/>
                <w:szCs w:val="24"/>
              </w:rPr>
            </w:pPr>
            <w:r w:rsidRPr="00794B7B">
              <w:rPr>
                <w:rFonts w:ascii="Times New Roman" w:hAnsi="Times New Roman"/>
                <w:sz w:val="24"/>
                <w:szCs w:val="24"/>
              </w:rPr>
              <w:t>Dokumentacioni i supervizorit, akti i kolaudimit, certifikata e marrjes ne dorezim;</w:t>
            </w:r>
          </w:p>
          <w:p w:rsidR="00D56402" w:rsidRPr="00794B7B" w:rsidRDefault="00D56402" w:rsidP="00D56402">
            <w:pPr>
              <w:numPr>
                <w:ilvl w:val="0"/>
                <w:numId w:val="5"/>
              </w:numPr>
              <w:jc w:val="both"/>
              <w:rPr>
                <w:rFonts w:ascii="Times New Roman" w:hAnsi="Times New Roman"/>
                <w:sz w:val="24"/>
                <w:szCs w:val="24"/>
              </w:rPr>
            </w:pPr>
            <w:r w:rsidRPr="00794B7B">
              <w:rPr>
                <w:rFonts w:ascii="Times New Roman" w:hAnsi="Times New Roman"/>
                <w:sz w:val="24"/>
                <w:szCs w:val="24"/>
              </w:rPr>
              <w:t>Raporte mbi ecurine e punimeve dhe raporti perfundimtar i pregatitur nga kordinatori i projektit;</w:t>
            </w:r>
          </w:p>
          <w:p w:rsidR="00D56402" w:rsidRPr="00794B7B" w:rsidRDefault="00D56402" w:rsidP="00D56402">
            <w:pPr>
              <w:numPr>
                <w:ilvl w:val="0"/>
                <w:numId w:val="5"/>
              </w:numPr>
              <w:jc w:val="both"/>
              <w:rPr>
                <w:rFonts w:ascii="Times New Roman" w:hAnsi="Times New Roman"/>
                <w:sz w:val="24"/>
                <w:szCs w:val="24"/>
              </w:rPr>
            </w:pPr>
            <w:r w:rsidRPr="00794B7B">
              <w:rPr>
                <w:rFonts w:ascii="Times New Roman" w:hAnsi="Times New Roman"/>
                <w:sz w:val="24"/>
                <w:szCs w:val="24"/>
              </w:rPr>
              <w:t>Fotografi.</w:t>
            </w:r>
          </w:p>
          <w:p w:rsidR="00F10F3C" w:rsidRPr="00794B7B" w:rsidRDefault="00F10F3C" w:rsidP="00BB5D8B">
            <w:pPr>
              <w:spacing w:after="0" w:line="240" w:lineRule="auto"/>
              <w:rPr>
                <w:rFonts w:ascii="Times New Roman" w:hAnsi="Times New Roman"/>
                <w:sz w:val="24"/>
                <w:szCs w:val="24"/>
              </w:rPr>
            </w:pPr>
          </w:p>
        </w:tc>
      </w:tr>
    </w:tbl>
    <w:p w:rsidR="00F10F3C" w:rsidRPr="00794B7B" w:rsidRDefault="00F10F3C" w:rsidP="00F10F3C">
      <w:pPr>
        <w:pStyle w:val="ListParagraph"/>
        <w:ind w:left="360"/>
        <w:rPr>
          <w:rFonts w:ascii="Times New Roman" w:hAnsi="Times New Roman"/>
          <w:b/>
          <w:sz w:val="24"/>
          <w:szCs w:val="24"/>
        </w:rPr>
      </w:pPr>
    </w:p>
    <w:p w:rsidR="00F10F3C" w:rsidRPr="00794B7B" w:rsidRDefault="00F10F3C" w:rsidP="00F10F3C">
      <w:pPr>
        <w:pStyle w:val="ListParagraph"/>
        <w:numPr>
          <w:ilvl w:val="0"/>
          <w:numId w:val="1"/>
        </w:numPr>
        <w:rPr>
          <w:rFonts w:ascii="Times New Roman" w:hAnsi="Times New Roman"/>
          <w:b/>
          <w:sz w:val="24"/>
          <w:szCs w:val="24"/>
        </w:rPr>
      </w:pPr>
      <w:r w:rsidRPr="00794B7B">
        <w:rPr>
          <w:rFonts w:ascii="Times New Roman" w:hAnsi="Times New Roman"/>
          <w:b/>
          <w:sz w:val="24"/>
          <w:szCs w:val="24"/>
        </w:rPr>
        <w:t>Qëndrueshmëria e Projektit</w:t>
      </w:r>
      <w:r w:rsidRPr="00794B7B">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794B7B" w:rsidTr="00BB5D8B">
        <w:trPr>
          <w:trHeight w:val="710"/>
        </w:trPr>
        <w:tc>
          <w:tcPr>
            <w:tcW w:w="9486" w:type="dxa"/>
          </w:tcPr>
          <w:p w:rsidR="00BC76ED" w:rsidRPr="00794B7B" w:rsidRDefault="00BC76ED" w:rsidP="00BC76ED">
            <w:pPr>
              <w:spacing w:after="0" w:line="240" w:lineRule="auto"/>
              <w:jc w:val="both"/>
              <w:rPr>
                <w:rFonts w:ascii="Times New Roman" w:hAnsi="Times New Roman"/>
                <w:i/>
                <w:sz w:val="24"/>
                <w:szCs w:val="24"/>
              </w:rPr>
            </w:pPr>
            <w:r w:rsidRPr="00794B7B">
              <w:rPr>
                <w:rFonts w:ascii="Times New Roman" w:hAnsi="Times New Roman"/>
                <w:sz w:val="24"/>
                <w:szCs w:val="24"/>
              </w:rPr>
              <w:t xml:space="preserve">Projekti synon ndertimin e nje ambienti te pershatshem per ofrimin e akomodimit te nxenesve . Ky projekt do të administrohet nga Komuna Bushat (drejtoria e shërbimeve publike) dhe përmes buxhetit të vet, Komuna do të alokojë fondet e nevojshme për financimin e shpenzimeve operative dhe të mirëmbajtjes për funksionimin e konviktit, gjithshtu nje pjese e financimit per keto shpenzime do te sigurohen nga tarifat qe do te paguajne cdo nxenes. Financimi i shpenzimeve operative dhe të mirëmbajtjes synon mirëmbajtjen permanente të ambjenteve gjatë gjithë jetës së dobishme të projektit të realizuar. Gjithshtu duke pare edhe perspektiven gjithnje e ne rritje te arsimit profesional dhe nevojave te tregut te punes per profesione per te cilat po promovohet gjithnje e me shume, pritet qe vit pas viti te shkoje gjithnje e ne rritje numri i nxenesve qe do te </w:t>
            </w:r>
            <w:r w:rsidR="00D73C92" w:rsidRPr="00794B7B">
              <w:rPr>
                <w:rFonts w:ascii="Times New Roman" w:hAnsi="Times New Roman"/>
                <w:sz w:val="24"/>
                <w:szCs w:val="24"/>
              </w:rPr>
              <w:t>aplikojne per tu bere pjese e kesaj shkolle dhe rrjedhimisht do te akomodohen prane keti konvikti.</w:t>
            </w:r>
          </w:p>
          <w:p w:rsidR="00F10F3C" w:rsidRPr="00794B7B" w:rsidRDefault="00F10F3C" w:rsidP="00BB5D8B">
            <w:pPr>
              <w:spacing w:after="0" w:line="240" w:lineRule="auto"/>
              <w:jc w:val="both"/>
              <w:rPr>
                <w:rFonts w:ascii="Times New Roman" w:hAnsi="Times New Roman"/>
                <w:i/>
                <w:sz w:val="24"/>
                <w:szCs w:val="24"/>
              </w:rPr>
            </w:pPr>
            <w:r w:rsidRPr="00794B7B">
              <w:rPr>
                <w:rFonts w:ascii="Times New Roman" w:hAnsi="Times New Roman"/>
                <w:i/>
                <w:sz w:val="24"/>
                <w:szCs w:val="24"/>
              </w:rPr>
              <w:t xml:space="preserve"> </w:t>
            </w:r>
          </w:p>
        </w:tc>
      </w:tr>
    </w:tbl>
    <w:p w:rsidR="00F10F3C" w:rsidRPr="00794B7B" w:rsidRDefault="00F10F3C" w:rsidP="00F10F3C">
      <w:pPr>
        <w:pStyle w:val="ListParagraph"/>
        <w:ind w:left="0"/>
        <w:rPr>
          <w:rFonts w:ascii="Times New Roman" w:hAnsi="Times New Roman"/>
          <w:b/>
          <w:sz w:val="24"/>
          <w:szCs w:val="24"/>
        </w:rPr>
      </w:pPr>
    </w:p>
    <w:p w:rsidR="00F10F3C" w:rsidRPr="00794B7B" w:rsidRDefault="00F10F3C" w:rsidP="00F10F3C">
      <w:pPr>
        <w:pStyle w:val="ListParagraph"/>
        <w:numPr>
          <w:ilvl w:val="0"/>
          <w:numId w:val="1"/>
        </w:numPr>
        <w:rPr>
          <w:rFonts w:ascii="Times New Roman" w:hAnsi="Times New Roman"/>
          <w:b/>
          <w:sz w:val="24"/>
          <w:szCs w:val="24"/>
        </w:rPr>
      </w:pPr>
      <w:r w:rsidRPr="00794B7B">
        <w:rPr>
          <w:rFonts w:ascii="Times New Roman" w:hAnsi="Times New Roman"/>
          <w:b/>
          <w:sz w:val="24"/>
          <w:szCs w:val="24"/>
        </w:rPr>
        <w:t>Faktorë Cilësie</w:t>
      </w:r>
      <w:r w:rsidRPr="00794B7B">
        <w:rPr>
          <w:rFonts w:ascii="Times New Roman" w:hAnsi="Times New Roman"/>
          <w:b/>
          <w:sz w:val="24"/>
          <w:szCs w:val="24"/>
        </w:rPr>
        <w:tab/>
      </w:r>
    </w:p>
    <w:p w:rsidR="00F10F3C" w:rsidRPr="00794B7B" w:rsidRDefault="00F10F3C" w:rsidP="00F10F3C">
      <w:pPr>
        <w:pStyle w:val="ListParagrap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794B7B" w:rsidTr="00BB5D8B">
        <w:trPr>
          <w:trHeight w:val="1070"/>
        </w:trPr>
        <w:tc>
          <w:tcPr>
            <w:tcW w:w="9486" w:type="dxa"/>
          </w:tcPr>
          <w:p w:rsidR="00F10F3C" w:rsidRPr="00794B7B" w:rsidRDefault="00696853" w:rsidP="00696853">
            <w:pPr>
              <w:spacing w:after="0" w:line="240" w:lineRule="auto"/>
              <w:rPr>
                <w:rFonts w:ascii="Times New Roman" w:hAnsi="Times New Roman"/>
                <w:sz w:val="24"/>
                <w:szCs w:val="24"/>
              </w:rPr>
            </w:pPr>
            <w:r w:rsidRPr="00794B7B">
              <w:rPr>
                <w:rFonts w:ascii="Times New Roman" w:hAnsi="Times New Roman"/>
                <w:b/>
                <w:sz w:val="24"/>
                <w:szCs w:val="24"/>
              </w:rPr>
              <w:t xml:space="preserve">Aspektet gjinore. </w:t>
            </w:r>
            <w:r w:rsidRPr="00794B7B">
              <w:rPr>
                <w:rFonts w:ascii="Times New Roman" w:hAnsi="Times New Roman"/>
                <w:sz w:val="24"/>
                <w:szCs w:val="24"/>
              </w:rPr>
              <w:t xml:space="preserve"> Gjate hartimit te projektit eshte bere e mundur perfshirja e grave me ane te propozimeve konkrete sidomos per ambientet e ngrenies, te fjetjes dhe te kushteve higjeno- sanitare.</w:t>
            </w:r>
          </w:p>
          <w:p w:rsidR="00696853" w:rsidRPr="00794B7B" w:rsidRDefault="00696853" w:rsidP="00696853">
            <w:pPr>
              <w:jc w:val="both"/>
              <w:rPr>
                <w:rFonts w:ascii="Times New Roman" w:hAnsi="Times New Roman"/>
                <w:sz w:val="24"/>
                <w:szCs w:val="24"/>
              </w:rPr>
            </w:pPr>
            <w:r w:rsidRPr="00794B7B">
              <w:rPr>
                <w:rFonts w:ascii="Times New Roman" w:hAnsi="Times New Roman"/>
                <w:b/>
                <w:sz w:val="24"/>
                <w:szCs w:val="24"/>
              </w:rPr>
              <w:t>Transparenca gjate zbatimit</w:t>
            </w:r>
            <w:r w:rsidRPr="00794B7B">
              <w:rPr>
                <w:rFonts w:ascii="Times New Roman" w:hAnsi="Times New Roman"/>
                <w:sz w:val="24"/>
                <w:szCs w:val="24"/>
              </w:rPr>
              <w:t>:  Projekti lidhur me ndertimin e konviktit synon ne pjesmarrjen e komunitetit , realizimin e transparences dhe krijimin e marredhenieve te hapura te organeve qeverisese. Ne muajin e pare te projektit stafi realizues i tij do te pregatise rreth 600 broshura lidhur me projektin dhe qellimin e tij dhe do ti shperndaje ato ne te gjithe zonen. Pervec te tjerash keto broshura do te perfshijne informacion mbi perfituesit, objektivat, aktivitetet, rezultatet e pritshme etj. Gjithashtu projekti do te promovohet/prezantohet edhe ne mediat lokale te Rrethit Shkoder.</w:t>
            </w:r>
            <w:r w:rsidR="002D25FC" w:rsidRPr="00794B7B">
              <w:rPr>
                <w:rFonts w:ascii="Times New Roman" w:hAnsi="Times New Roman"/>
                <w:sz w:val="24"/>
                <w:szCs w:val="24"/>
              </w:rPr>
              <w:t xml:space="preserve"> D</w:t>
            </w:r>
            <w:r w:rsidRPr="00794B7B">
              <w:rPr>
                <w:rFonts w:ascii="Times New Roman" w:hAnsi="Times New Roman"/>
                <w:sz w:val="24"/>
                <w:szCs w:val="24"/>
              </w:rPr>
              <w:t>o te zhvillohen takime te vazhdueshme me banoret e zone</w:t>
            </w:r>
            <w:r w:rsidR="002D25FC" w:rsidRPr="00794B7B">
              <w:rPr>
                <w:rFonts w:ascii="Times New Roman" w:hAnsi="Times New Roman"/>
                <w:sz w:val="24"/>
                <w:szCs w:val="24"/>
              </w:rPr>
              <w:t>s dhe me perfaqesues te arsimit</w:t>
            </w:r>
            <w:r w:rsidRPr="00794B7B">
              <w:rPr>
                <w:rFonts w:ascii="Times New Roman" w:hAnsi="Times New Roman"/>
                <w:sz w:val="24"/>
                <w:szCs w:val="24"/>
              </w:rPr>
              <w:t xml:space="preserve">, duke marre parasysh propozimet e tyre konkrete. Gjithashtu do t’u krijohet mundesia qe edhe gjate zbatimit te projektit te jene te pranishem perfaqesues te ketyre grupeve per te evidentuar cilesine dhe korrektesine e zbatimit te projekt-idese. </w:t>
            </w:r>
          </w:p>
          <w:p w:rsidR="002D25FC" w:rsidRPr="00794B7B" w:rsidRDefault="002D25FC" w:rsidP="00696853">
            <w:pPr>
              <w:jc w:val="both"/>
              <w:rPr>
                <w:rFonts w:ascii="Times New Roman" w:hAnsi="Times New Roman"/>
                <w:sz w:val="24"/>
                <w:szCs w:val="24"/>
              </w:rPr>
            </w:pPr>
            <w:r w:rsidRPr="00794B7B">
              <w:rPr>
                <w:rFonts w:ascii="Times New Roman" w:hAnsi="Times New Roman"/>
                <w:b/>
                <w:sz w:val="24"/>
                <w:szCs w:val="24"/>
              </w:rPr>
              <w:t xml:space="preserve">Inovacioni: </w:t>
            </w:r>
            <w:r w:rsidRPr="00794B7B">
              <w:rPr>
                <w:rFonts w:ascii="Times New Roman" w:hAnsi="Times New Roman"/>
                <w:sz w:val="24"/>
                <w:szCs w:val="24"/>
              </w:rPr>
              <w:t>Ne Qarkun e Shkodres, nuk ekziston ne asnje nga njesite e qeverisjes vendore, nje shkolle profesionale me nje drejtim te tille, e jo me nje konvikt, dhe me plot bindje themi qe ashtu si edhe investime e tjera ne Komunen Bushat kane sherbyer si shembull qe jane ndjekur nga keto njesi pas aplikimit me sukses ne Komunen Bushat, edhe ky investim do te ndiqet si shembull po nga keto njesi.</w:t>
            </w:r>
          </w:p>
          <w:p w:rsidR="00696853" w:rsidRPr="00794B7B" w:rsidRDefault="00696853" w:rsidP="00696853">
            <w:pPr>
              <w:spacing w:after="0" w:line="240" w:lineRule="auto"/>
              <w:rPr>
                <w:rFonts w:ascii="Times New Roman" w:hAnsi="Times New Roman"/>
                <w:b/>
                <w:sz w:val="24"/>
                <w:szCs w:val="24"/>
              </w:rPr>
            </w:pPr>
          </w:p>
        </w:tc>
      </w:tr>
    </w:tbl>
    <w:p w:rsidR="00F10F3C" w:rsidRPr="00794B7B" w:rsidRDefault="00F10F3C" w:rsidP="00F10F3C">
      <w:pPr>
        <w:rPr>
          <w:rFonts w:ascii="Times New Roman" w:hAnsi="Times New Roman"/>
          <w:b/>
          <w:sz w:val="24"/>
          <w:szCs w:val="24"/>
        </w:rPr>
      </w:pPr>
    </w:p>
    <w:p w:rsidR="00F10F3C" w:rsidRPr="00794B7B" w:rsidRDefault="00F10F3C" w:rsidP="00F10F3C">
      <w:pPr>
        <w:rPr>
          <w:rFonts w:ascii="Times New Roman" w:hAnsi="Times New Roman"/>
          <w:b/>
          <w:sz w:val="24"/>
          <w:szCs w:val="24"/>
        </w:rPr>
      </w:pPr>
    </w:p>
    <w:p w:rsidR="00F10F3C" w:rsidRPr="00794B7B" w:rsidRDefault="00F10F3C" w:rsidP="00F10F3C">
      <w:pPr>
        <w:pStyle w:val="ListParagraph"/>
        <w:numPr>
          <w:ilvl w:val="0"/>
          <w:numId w:val="1"/>
        </w:numPr>
        <w:rPr>
          <w:rFonts w:ascii="Times New Roman" w:hAnsi="Times New Roman"/>
          <w:b/>
          <w:sz w:val="24"/>
          <w:szCs w:val="24"/>
        </w:rPr>
      </w:pPr>
      <w:r w:rsidRPr="00794B7B">
        <w:rPr>
          <w:rFonts w:ascii="Times New Roman" w:hAnsi="Times New Roman"/>
          <w:b/>
          <w:sz w:val="24"/>
          <w:szCs w:val="24"/>
        </w:rPr>
        <w:t xml:space="preserve">Të dhëna për aplikantin/ët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6"/>
      </w:tblGrid>
      <w:tr w:rsidR="00F10F3C" w:rsidRPr="00794B7B" w:rsidTr="00BB5D8B">
        <w:trPr>
          <w:trHeight w:val="980"/>
        </w:trPr>
        <w:tc>
          <w:tcPr>
            <w:tcW w:w="9351" w:type="dxa"/>
          </w:tcPr>
          <w:p w:rsidR="004E67CD" w:rsidRPr="00794B7B" w:rsidRDefault="004E67CD" w:rsidP="004E67CD">
            <w:pPr>
              <w:spacing w:after="0" w:line="240" w:lineRule="auto"/>
              <w:rPr>
                <w:rFonts w:ascii="Times New Roman" w:hAnsi="Times New Roman"/>
                <w:sz w:val="24"/>
                <w:szCs w:val="24"/>
              </w:rPr>
            </w:pPr>
            <w:r w:rsidRPr="00794B7B">
              <w:rPr>
                <w:rFonts w:ascii="Times New Roman" w:hAnsi="Times New Roman"/>
                <w:sz w:val="24"/>
                <w:szCs w:val="24"/>
              </w:rPr>
              <w:t>Stafi Komunës i cili do të angazhohet për realizimin, administrimin dhe menaxhimin e këtij projekti janë si më poshtë:</w:t>
            </w:r>
          </w:p>
          <w:p w:rsidR="004E67CD" w:rsidRPr="00794B7B" w:rsidRDefault="004E67CD" w:rsidP="004E67CD">
            <w:pPr>
              <w:spacing w:after="0" w:line="240" w:lineRule="auto"/>
              <w:rPr>
                <w:rFonts w:ascii="Times New Roman" w:hAnsi="Times New Roman"/>
                <w:sz w:val="24"/>
                <w:szCs w:val="24"/>
              </w:rPr>
            </w:pPr>
          </w:p>
          <w:p w:rsidR="004E67CD" w:rsidRPr="00794B7B" w:rsidRDefault="004E67CD" w:rsidP="004E67CD">
            <w:pPr>
              <w:spacing w:after="0" w:line="240" w:lineRule="auto"/>
              <w:rPr>
                <w:rFonts w:ascii="Times New Roman" w:hAnsi="Times New Roman"/>
                <w:sz w:val="24"/>
                <w:szCs w:val="24"/>
              </w:rPr>
            </w:pPr>
            <w:r w:rsidRPr="00794B7B">
              <w:rPr>
                <w:rFonts w:ascii="Times New Roman" w:hAnsi="Times New Roman"/>
                <w:sz w:val="24"/>
                <w:szCs w:val="24"/>
              </w:rPr>
              <w:t>Shefki Gërbeti – Zv.Kryetar i Komunës</w:t>
            </w:r>
          </w:p>
          <w:p w:rsidR="004E67CD" w:rsidRPr="00794B7B" w:rsidRDefault="004E67CD" w:rsidP="004E67CD">
            <w:pPr>
              <w:spacing w:after="0" w:line="240" w:lineRule="auto"/>
              <w:rPr>
                <w:rFonts w:ascii="Times New Roman" w:hAnsi="Times New Roman"/>
                <w:sz w:val="24"/>
                <w:szCs w:val="24"/>
              </w:rPr>
            </w:pPr>
            <w:r w:rsidRPr="00794B7B">
              <w:rPr>
                <w:rFonts w:ascii="Times New Roman" w:hAnsi="Times New Roman"/>
                <w:sz w:val="24"/>
                <w:szCs w:val="24"/>
              </w:rPr>
              <w:t xml:space="preserve">Salvador Gaci – Drejtor i Drejtorisë së Planifikimit të Territorit </w:t>
            </w:r>
          </w:p>
          <w:p w:rsidR="004E67CD" w:rsidRPr="00794B7B" w:rsidRDefault="004E67CD" w:rsidP="004E67CD">
            <w:pPr>
              <w:spacing w:after="0" w:line="240" w:lineRule="auto"/>
              <w:rPr>
                <w:rFonts w:ascii="Times New Roman" w:hAnsi="Times New Roman"/>
                <w:sz w:val="24"/>
                <w:szCs w:val="24"/>
              </w:rPr>
            </w:pPr>
            <w:r w:rsidRPr="00794B7B">
              <w:rPr>
                <w:rFonts w:ascii="Times New Roman" w:hAnsi="Times New Roman"/>
                <w:sz w:val="24"/>
                <w:szCs w:val="24"/>
              </w:rPr>
              <w:t>Albert Markola – Specialist i Drejtorisë së Planifikimit të Territorit dhe Investimeve</w:t>
            </w:r>
          </w:p>
          <w:p w:rsidR="004E67CD" w:rsidRPr="00794B7B" w:rsidRDefault="004E67CD" w:rsidP="004E67CD">
            <w:pPr>
              <w:spacing w:after="0" w:line="240" w:lineRule="auto"/>
              <w:rPr>
                <w:rFonts w:ascii="Times New Roman" w:hAnsi="Times New Roman"/>
                <w:sz w:val="24"/>
                <w:szCs w:val="24"/>
              </w:rPr>
            </w:pPr>
            <w:r w:rsidRPr="00794B7B">
              <w:rPr>
                <w:rFonts w:ascii="Times New Roman" w:hAnsi="Times New Roman"/>
                <w:sz w:val="24"/>
                <w:szCs w:val="24"/>
              </w:rPr>
              <w:t>Jolanda Mema – Drejtore Finance</w:t>
            </w:r>
          </w:p>
          <w:p w:rsidR="00F10F3C" w:rsidRPr="00794B7B" w:rsidRDefault="004E67CD" w:rsidP="004E67CD">
            <w:pPr>
              <w:spacing w:after="0" w:line="240" w:lineRule="auto"/>
              <w:rPr>
                <w:rFonts w:ascii="Times New Roman" w:hAnsi="Times New Roman"/>
                <w:i/>
                <w:sz w:val="24"/>
                <w:szCs w:val="24"/>
              </w:rPr>
            </w:pPr>
            <w:r w:rsidRPr="00794B7B">
              <w:rPr>
                <w:rFonts w:ascii="Times New Roman" w:hAnsi="Times New Roman"/>
                <w:sz w:val="24"/>
                <w:szCs w:val="24"/>
              </w:rPr>
              <w:t>Nikollë Markaj – Drejtor i Drejtorisë së Shërbimeve</w:t>
            </w:r>
          </w:p>
          <w:p w:rsidR="00F10F3C" w:rsidRPr="00794B7B" w:rsidRDefault="00F10F3C" w:rsidP="00BB5D8B">
            <w:pPr>
              <w:spacing w:after="0" w:line="240" w:lineRule="auto"/>
              <w:rPr>
                <w:rFonts w:ascii="Times New Roman" w:hAnsi="Times New Roman"/>
                <w:i/>
                <w:sz w:val="24"/>
                <w:szCs w:val="24"/>
              </w:rPr>
            </w:pPr>
          </w:p>
        </w:tc>
      </w:tr>
    </w:tbl>
    <w:p w:rsidR="00F10F3C" w:rsidRPr="00794B7B" w:rsidRDefault="00F10F3C" w:rsidP="00F10F3C">
      <w:pPr>
        <w:rPr>
          <w:rFonts w:ascii="Times New Roman" w:hAnsi="Times New Roman"/>
          <w:b/>
          <w:sz w:val="24"/>
          <w:szCs w:val="24"/>
        </w:rPr>
      </w:pPr>
    </w:p>
    <w:p w:rsidR="00F10F3C" w:rsidRPr="00794B7B" w:rsidRDefault="00F10F3C" w:rsidP="00F10F3C">
      <w:pPr>
        <w:rPr>
          <w:rFonts w:ascii="Times New Roman" w:hAnsi="Times New Roman"/>
          <w:sz w:val="24"/>
          <w:szCs w:val="24"/>
        </w:rPr>
      </w:pPr>
      <w:r w:rsidRPr="00794B7B">
        <w:rPr>
          <w:rFonts w:ascii="Times New Roman" w:hAnsi="Times New Roman"/>
          <w:sz w:val="24"/>
          <w:szCs w:val="24"/>
        </w:rPr>
        <w:t xml:space="preserve">Dokumente të tjera që nevojiten: </w:t>
      </w:r>
    </w:p>
    <w:p w:rsidR="00F10F3C" w:rsidRPr="00794B7B" w:rsidRDefault="00F10F3C" w:rsidP="00F10F3C">
      <w:pPr>
        <w:pStyle w:val="ListParagraph"/>
        <w:numPr>
          <w:ilvl w:val="0"/>
          <w:numId w:val="2"/>
        </w:numPr>
        <w:jc w:val="both"/>
        <w:rPr>
          <w:rFonts w:ascii="Times New Roman" w:hAnsi="Times New Roman"/>
          <w:sz w:val="24"/>
          <w:szCs w:val="24"/>
        </w:rPr>
      </w:pPr>
      <w:r w:rsidRPr="00794B7B">
        <w:rPr>
          <w:rFonts w:ascii="Times New Roman" w:hAnsi="Times New Roman"/>
          <w:sz w:val="24"/>
          <w:szCs w:val="24"/>
        </w:rPr>
        <w:t xml:space="preserve">Vendimi i Këshillit të NJQV-së që ka rezervuar në buxhetin e tij të vitit 2011 shumën e duhur për të paktën 20% të bashkëfinancimit të shumës totale të kostos së projektit. </w:t>
      </w:r>
    </w:p>
    <w:p w:rsidR="00F10F3C" w:rsidRPr="00794B7B" w:rsidRDefault="00F10F3C" w:rsidP="00F10F3C">
      <w:pPr>
        <w:pStyle w:val="ListParagraph"/>
        <w:numPr>
          <w:ilvl w:val="0"/>
          <w:numId w:val="2"/>
        </w:numPr>
        <w:jc w:val="both"/>
        <w:rPr>
          <w:rFonts w:ascii="Times New Roman" w:hAnsi="Times New Roman"/>
          <w:sz w:val="24"/>
          <w:szCs w:val="24"/>
        </w:rPr>
      </w:pPr>
      <w:r w:rsidRPr="00794B7B">
        <w:rPr>
          <w:rFonts w:ascii="Times New Roman" w:hAnsi="Times New Roman"/>
          <w:sz w:val="24"/>
          <w:szCs w:val="24"/>
        </w:rPr>
        <w:t xml:space="preserve">Buxheti i projektit. </w:t>
      </w:r>
    </w:p>
    <w:p w:rsidR="00F10F3C" w:rsidRPr="00794B7B" w:rsidRDefault="00F10F3C" w:rsidP="00F10F3C">
      <w:pPr>
        <w:pStyle w:val="ListParagraph"/>
        <w:numPr>
          <w:ilvl w:val="0"/>
          <w:numId w:val="2"/>
        </w:numPr>
        <w:jc w:val="both"/>
        <w:rPr>
          <w:rFonts w:ascii="Times New Roman" w:hAnsi="Times New Roman"/>
          <w:sz w:val="24"/>
          <w:szCs w:val="24"/>
        </w:rPr>
      </w:pPr>
      <w:r w:rsidRPr="00794B7B">
        <w:rPr>
          <w:rFonts w:ascii="Times New Roman" w:hAnsi="Times New Roman"/>
          <w:sz w:val="24"/>
          <w:szCs w:val="24"/>
        </w:rPr>
        <w:t xml:space="preserve">Licenca e hartuesit, hartimi teknik dhe vlerësimi i kostos (në rast investimi). </w:t>
      </w:r>
    </w:p>
    <w:p w:rsidR="00F10F3C" w:rsidRPr="00794B7B" w:rsidRDefault="00F10F3C" w:rsidP="00F10F3C">
      <w:pPr>
        <w:pStyle w:val="ListParagraph"/>
        <w:numPr>
          <w:ilvl w:val="0"/>
          <w:numId w:val="2"/>
        </w:numPr>
        <w:jc w:val="both"/>
        <w:rPr>
          <w:rFonts w:ascii="Times New Roman" w:hAnsi="Times New Roman"/>
          <w:sz w:val="24"/>
          <w:szCs w:val="24"/>
        </w:rPr>
      </w:pPr>
      <w:r w:rsidRPr="00794B7B">
        <w:rPr>
          <w:rFonts w:ascii="Times New Roman" w:hAnsi="Times New Roman"/>
          <w:sz w:val="24"/>
          <w:szCs w:val="24"/>
        </w:rPr>
        <w:t>Vendimi i Këshillit Rregullues të Territoreve që aprovon projektin (në rast investimi).</w:t>
      </w:r>
    </w:p>
    <w:p w:rsidR="00F10F3C" w:rsidRPr="00794B7B" w:rsidRDefault="00F10F3C" w:rsidP="00F10F3C">
      <w:pPr>
        <w:pStyle w:val="ListParagraph"/>
        <w:numPr>
          <w:ilvl w:val="0"/>
          <w:numId w:val="2"/>
        </w:numPr>
        <w:jc w:val="both"/>
        <w:rPr>
          <w:rFonts w:ascii="Times New Roman" w:hAnsi="Times New Roman"/>
          <w:sz w:val="24"/>
          <w:szCs w:val="24"/>
        </w:rPr>
      </w:pPr>
      <w:r w:rsidRPr="00794B7B">
        <w:rPr>
          <w:rFonts w:ascii="Times New Roman" w:hAnsi="Times New Roman"/>
          <w:sz w:val="24"/>
          <w:szCs w:val="24"/>
        </w:rPr>
        <w:t xml:space="preserve">Licensa dhe leje të tjera, që mund të nevojiten përpara tenderimit të punëve (në rast investimi). </w:t>
      </w:r>
    </w:p>
    <w:p w:rsidR="00F10F3C" w:rsidRPr="00794B7B" w:rsidRDefault="00F10F3C" w:rsidP="00F10F3C">
      <w:pPr>
        <w:pStyle w:val="ListParagraph"/>
        <w:numPr>
          <w:ilvl w:val="0"/>
          <w:numId w:val="2"/>
        </w:numPr>
        <w:jc w:val="both"/>
        <w:rPr>
          <w:rFonts w:ascii="Times New Roman" w:hAnsi="Times New Roman"/>
          <w:sz w:val="24"/>
          <w:szCs w:val="24"/>
        </w:rPr>
      </w:pPr>
      <w:r w:rsidRPr="00794B7B">
        <w:rPr>
          <w:rFonts w:ascii="Times New Roman" w:hAnsi="Times New Roman"/>
          <w:sz w:val="24"/>
          <w:szCs w:val="24"/>
        </w:rPr>
        <w:t xml:space="preserve">Plani për mirëmbajtje/operim për asetin, që do investohet nga projekti (në rast investimi). </w:t>
      </w:r>
    </w:p>
    <w:p w:rsidR="00F10F3C" w:rsidRPr="00794B7B" w:rsidRDefault="00F10F3C" w:rsidP="00F10F3C">
      <w:pPr>
        <w:pStyle w:val="ListParagraph"/>
        <w:numPr>
          <w:ilvl w:val="0"/>
          <w:numId w:val="2"/>
        </w:numPr>
        <w:jc w:val="both"/>
        <w:rPr>
          <w:rFonts w:ascii="Times New Roman" w:hAnsi="Times New Roman"/>
          <w:sz w:val="24"/>
          <w:szCs w:val="24"/>
        </w:rPr>
      </w:pPr>
      <w:r w:rsidRPr="00794B7B">
        <w:rPr>
          <w:rFonts w:ascii="Times New Roman" w:hAnsi="Times New Roman"/>
          <w:sz w:val="24"/>
          <w:szCs w:val="24"/>
        </w:rPr>
        <w:t xml:space="preserve">Termat e referencës për ofruesin e shërbimeve (në rast se projekti është  një projekt studimi, plani ose informacioni/komunikimi). </w:t>
      </w:r>
    </w:p>
    <w:p w:rsidR="00F10F3C" w:rsidRPr="00794B7B" w:rsidRDefault="00F10F3C" w:rsidP="00F10F3C">
      <w:pPr>
        <w:pStyle w:val="ListParagraph"/>
        <w:numPr>
          <w:ilvl w:val="0"/>
          <w:numId w:val="2"/>
        </w:numPr>
        <w:jc w:val="both"/>
        <w:rPr>
          <w:rFonts w:ascii="Times New Roman" w:hAnsi="Times New Roman"/>
          <w:sz w:val="24"/>
          <w:szCs w:val="24"/>
        </w:rPr>
      </w:pPr>
      <w:r w:rsidRPr="00794B7B">
        <w:rPr>
          <w:rFonts w:ascii="Times New Roman" w:hAnsi="Times New Roman"/>
          <w:sz w:val="24"/>
          <w:szCs w:val="24"/>
        </w:rPr>
        <w:t xml:space="preserve">Marrëveshje ndërmjet NJQV-ve që marrin pjesë në projekt, ku janë të përcaktuara rolet dhe përgjegjësitë e secilit partner, ku është përcaktuar aplikuesi kryesor dhe ku është rënë dakord për kontributin e secilës NJQV (në rast projektesh ndër NJQV). </w:t>
      </w:r>
    </w:p>
    <w:p w:rsidR="00F10F3C" w:rsidRPr="00794B7B" w:rsidRDefault="00F10F3C" w:rsidP="00F10F3C">
      <w:pPr>
        <w:pStyle w:val="ListParagraph"/>
        <w:numPr>
          <w:ilvl w:val="0"/>
          <w:numId w:val="2"/>
        </w:numPr>
        <w:jc w:val="both"/>
        <w:rPr>
          <w:rFonts w:ascii="Times New Roman" w:hAnsi="Times New Roman"/>
          <w:sz w:val="24"/>
          <w:szCs w:val="24"/>
        </w:rPr>
      </w:pPr>
      <w:r w:rsidRPr="00794B7B">
        <w:rPr>
          <w:rFonts w:ascii="Times New Roman" w:hAnsi="Times New Roman"/>
          <w:sz w:val="24"/>
          <w:szCs w:val="24"/>
        </w:rPr>
        <w:t xml:space="preserve">Të tjera.  </w:t>
      </w:r>
    </w:p>
    <w:p w:rsidR="00F10F3C" w:rsidRPr="00794B7B" w:rsidRDefault="00F10F3C" w:rsidP="00F10F3C">
      <w:pPr>
        <w:ind w:left="360"/>
        <w:jc w:val="right"/>
        <w:rPr>
          <w:rFonts w:ascii="Times New Roman" w:hAnsi="Times New Roman"/>
          <w:sz w:val="24"/>
          <w:szCs w:val="24"/>
        </w:rPr>
      </w:pPr>
    </w:p>
    <w:p w:rsidR="00F10F3C" w:rsidRPr="00794B7B" w:rsidRDefault="00F10F3C" w:rsidP="00F10F3C">
      <w:pPr>
        <w:ind w:left="360"/>
        <w:jc w:val="right"/>
        <w:rPr>
          <w:rFonts w:ascii="Times New Roman" w:hAnsi="Times New Roman"/>
          <w:sz w:val="24"/>
          <w:szCs w:val="24"/>
        </w:rPr>
      </w:pPr>
      <w:r w:rsidRPr="00794B7B">
        <w:rPr>
          <w:rFonts w:ascii="Times New Roman" w:hAnsi="Times New Roman"/>
          <w:sz w:val="24"/>
          <w:szCs w:val="24"/>
        </w:rPr>
        <w:t xml:space="preserve"> [Emri, firma e kryetarit, vula e NJQV-së]</w:t>
      </w:r>
    </w:p>
    <w:p w:rsidR="00F10F3C" w:rsidRPr="00794B7B" w:rsidRDefault="00F10F3C" w:rsidP="00F10F3C">
      <w:pPr>
        <w:rPr>
          <w:rFonts w:ascii="Times New Roman" w:hAnsi="Times New Roman"/>
          <w:b/>
          <w:sz w:val="24"/>
          <w:szCs w:val="24"/>
        </w:rPr>
      </w:pPr>
    </w:p>
    <w:p w:rsidR="007E7944" w:rsidRPr="00794B7B" w:rsidRDefault="007E7944">
      <w:pPr>
        <w:rPr>
          <w:rFonts w:ascii="Times New Roman" w:hAnsi="Times New Roman"/>
          <w:sz w:val="24"/>
          <w:szCs w:val="24"/>
        </w:rPr>
      </w:pPr>
    </w:p>
    <w:sectPr w:rsidR="007E7944" w:rsidRPr="00794B7B" w:rsidSect="005509A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079D1"/>
    <w:multiLevelType w:val="hybridMultilevel"/>
    <w:tmpl w:val="4AD41A2E"/>
    <w:lvl w:ilvl="0" w:tplc="4D1A6A3E">
      <w:start w:val="1"/>
      <w:numFmt w:val="decimal"/>
      <w:lvlText w:val="%1."/>
      <w:lvlJc w:val="left"/>
      <w:pPr>
        <w:ind w:left="720" w:hanging="360"/>
      </w:pPr>
      <w:rPr>
        <w:rFonts w:ascii="Verdana" w:hAnsi="Verdana" w:hint="default"/>
        <w:color w:val="00000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85268"/>
    <w:multiLevelType w:val="hybridMultilevel"/>
    <w:tmpl w:val="760E5D5E"/>
    <w:lvl w:ilvl="0" w:tplc="C756BE7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8000B9"/>
    <w:multiLevelType w:val="multilevel"/>
    <w:tmpl w:val="BB3A36D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C956754"/>
    <w:multiLevelType w:val="multilevel"/>
    <w:tmpl w:val="688AD4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1E360DE"/>
    <w:multiLevelType w:val="hybridMultilevel"/>
    <w:tmpl w:val="D3E0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F10F3C"/>
    <w:rsid w:val="00016FBF"/>
    <w:rsid w:val="00136CBF"/>
    <w:rsid w:val="00190180"/>
    <w:rsid w:val="001D413F"/>
    <w:rsid w:val="00247A2B"/>
    <w:rsid w:val="002A2770"/>
    <w:rsid w:val="002A2A7E"/>
    <w:rsid w:val="002D25FC"/>
    <w:rsid w:val="00390C83"/>
    <w:rsid w:val="003C1DA6"/>
    <w:rsid w:val="003D538F"/>
    <w:rsid w:val="00401C2B"/>
    <w:rsid w:val="00494C24"/>
    <w:rsid w:val="004B6F70"/>
    <w:rsid w:val="004E67CD"/>
    <w:rsid w:val="004E6E11"/>
    <w:rsid w:val="004F2CAF"/>
    <w:rsid w:val="005509AD"/>
    <w:rsid w:val="0057431D"/>
    <w:rsid w:val="00583093"/>
    <w:rsid w:val="00656A4D"/>
    <w:rsid w:val="00696853"/>
    <w:rsid w:val="00794B7B"/>
    <w:rsid w:val="007E7944"/>
    <w:rsid w:val="007F17FF"/>
    <w:rsid w:val="00982D00"/>
    <w:rsid w:val="00A31EBC"/>
    <w:rsid w:val="00A44BB5"/>
    <w:rsid w:val="00A4665E"/>
    <w:rsid w:val="00A67E55"/>
    <w:rsid w:val="00AD4B89"/>
    <w:rsid w:val="00B21B0F"/>
    <w:rsid w:val="00B517D4"/>
    <w:rsid w:val="00B84A83"/>
    <w:rsid w:val="00B91D32"/>
    <w:rsid w:val="00BC76ED"/>
    <w:rsid w:val="00BD079A"/>
    <w:rsid w:val="00BD2F27"/>
    <w:rsid w:val="00C53B3E"/>
    <w:rsid w:val="00C76559"/>
    <w:rsid w:val="00C905C8"/>
    <w:rsid w:val="00D23C70"/>
    <w:rsid w:val="00D31C5A"/>
    <w:rsid w:val="00D37AC2"/>
    <w:rsid w:val="00D56402"/>
    <w:rsid w:val="00D73C92"/>
    <w:rsid w:val="00DD4817"/>
    <w:rsid w:val="00E655A8"/>
    <w:rsid w:val="00E87CC4"/>
    <w:rsid w:val="00EA024D"/>
    <w:rsid w:val="00EB4565"/>
    <w:rsid w:val="00F10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3C"/>
    <w:pPr>
      <w:spacing w:after="200" w:line="276" w:lineRule="auto"/>
    </w:pPr>
    <w:rPr>
      <w:rFonts w:ascii="Calibri" w:eastAsia="Calibri" w:hAnsi="Calibri" w:cs="Times New Roman"/>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0F3C"/>
    <w:pPr>
      <w:ind w:left="720"/>
      <w:contextualSpacing/>
    </w:pPr>
  </w:style>
  <w:style w:type="character" w:customStyle="1" w:styleId="ListParagraphChar">
    <w:name w:val="List Paragraph Char"/>
    <w:basedOn w:val="DefaultParagraphFont"/>
    <w:link w:val="ListParagraph"/>
    <w:uiPriority w:val="34"/>
    <w:rsid w:val="00F10F3C"/>
    <w:rPr>
      <w:rFonts w:ascii="Calibri" w:eastAsia="Calibri" w:hAnsi="Calibri" w:cs="Times New Roman"/>
      <w:sz w:val="22"/>
      <w:szCs w:val="22"/>
      <w:lang w:val="sq-AL"/>
    </w:rPr>
  </w:style>
  <w:style w:type="character" w:styleId="Strong">
    <w:name w:val="Strong"/>
    <w:basedOn w:val="DefaultParagraphFont"/>
    <w:uiPriority w:val="22"/>
    <w:qFormat/>
    <w:rsid w:val="00AD4B89"/>
    <w:rPr>
      <w:b/>
      <w:bCs/>
    </w:rPr>
  </w:style>
  <w:style w:type="character" w:styleId="CommentReference">
    <w:name w:val="annotation reference"/>
    <w:basedOn w:val="DefaultParagraphFont"/>
    <w:uiPriority w:val="99"/>
    <w:semiHidden/>
    <w:unhideWhenUsed/>
    <w:rsid w:val="00016FBF"/>
    <w:rPr>
      <w:sz w:val="16"/>
      <w:szCs w:val="16"/>
    </w:rPr>
  </w:style>
  <w:style w:type="paragraph" w:styleId="CommentText">
    <w:name w:val="annotation text"/>
    <w:basedOn w:val="Normal"/>
    <w:link w:val="CommentTextChar"/>
    <w:uiPriority w:val="99"/>
    <w:semiHidden/>
    <w:unhideWhenUsed/>
    <w:rsid w:val="00016FBF"/>
    <w:pPr>
      <w:spacing w:line="240" w:lineRule="auto"/>
    </w:pPr>
    <w:rPr>
      <w:sz w:val="20"/>
      <w:szCs w:val="20"/>
    </w:rPr>
  </w:style>
  <w:style w:type="character" w:customStyle="1" w:styleId="CommentTextChar">
    <w:name w:val="Comment Text Char"/>
    <w:basedOn w:val="DefaultParagraphFont"/>
    <w:link w:val="CommentText"/>
    <w:uiPriority w:val="99"/>
    <w:semiHidden/>
    <w:rsid w:val="00016FBF"/>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016FBF"/>
    <w:rPr>
      <w:b/>
      <w:bCs/>
    </w:rPr>
  </w:style>
  <w:style w:type="character" w:customStyle="1" w:styleId="CommentSubjectChar">
    <w:name w:val="Comment Subject Char"/>
    <w:basedOn w:val="CommentTextChar"/>
    <w:link w:val="CommentSubject"/>
    <w:uiPriority w:val="99"/>
    <w:semiHidden/>
    <w:rsid w:val="00016FBF"/>
    <w:rPr>
      <w:b/>
      <w:bCs/>
    </w:rPr>
  </w:style>
  <w:style w:type="paragraph" w:styleId="BalloonText">
    <w:name w:val="Balloon Text"/>
    <w:basedOn w:val="Normal"/>
    <w:link w:val="BalloonTextChar"/>
    <w:uiPriority w:val="99"/>
    <w:semiHidden/>
    <w:unhideWhenUsed/>
    <w:rsid w:val="00016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FBF"/>
    <w:rPr>
      <w:rFonts w:ascii="Tahoma" w:eastAsia="Calibri" w:hAnsi="Tahoma" w:cs="Tahoma"/>
      <w:sz w:val="16"/>
      <w:szCs w:val="16"/>
      <w:lang w:val="sq-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3C"/>
    <w:pPr>
      <w:spacing w:after="200" w:line="276" w:lineRule="auto"/>
    </w:pPr>
    <w:rPr>
      <w:rFonts w:ascii="Calibri" w:eastAsia="Calibri" w:hAnsi="Calibri" w:cs="Times New Roman"/>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0F3C"/>
    <w:pPr>
      <w:ind w:left="720"/>
      <w:contextualSpacing/>
    </w:pPr>
  </w:style>
  <w:style w:type="character" w:customStyle="1" w:styleId="ListParagraphChar">
    <w:name w:val="List Paragraph Char"/>
    <w:basedOn w:val="DefaultParagraphFont"/>
    <w:link w:val="ListParagraph"/>
    <w:uiPriority w:val="34"/>
    <w:rsid w:val="00F10F3C"/>
    <w:rPr>
      <w:rFonts w:ascii="Calibri" w:eastAsia="Calibri" w:hAnsi="Calibri" w:cs="Times New Roman"/>
      <w:sz w:val="22"/>
      <w:szCs w:val="22"/>
      <w:lang w:val="sq-AL"/>
    </w:rPr>
  </w:style>
</w:styles>
</file>

<file path=word/webSettings.xml><?xml version="1.0" encoding="utf-8"?>
<w:webSettings xmlns:r="http://schemas.openxmlformats.org/officeDocument/2006/relationships" xmlns:w="http://schemas.openxmlformats.org/wordprocessingml/2006/main">
  <w:divs>
    <w:div w:id="149599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042E-A2C4-4198-9053-74A8B972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Co-PLAN</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gjika</dc:creator>
  <cp:keywords/>
  <dc:description/>
  <cp:lastModifiedBy>Elvin Hoxha</cp:lastModifiedBy>
  <cp:revision>8</cp:revision>
  <dcterms:created xsi:type="dcterms:W3CDTF">2013-02-28T10:16:00Z</dcterms:created>
  <dcterms:modified xsi:type="dcterms:W3CDTF">2013-03-27T13:57:00Z</dcterms:modified>
</cp:coreProperties>
</file>